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6E8862C" w14:textId="6A04DD64" w:rsidR="0097421E" w:rsidRDefault="0097421E" w:rsidP="0097421E">
      <w:pPr>
        <w:pStyle w:val="Title"/>
        <w:rPr>
          <w:rFonts w:eastAsia="Times New Roman"/>
          <w:lang w:eastAsia="en-GB"/>
        </w:rPr>
      </w:pPr>
      <w:r>
        <w:rPr>
          <w:rFonts w:eastAsia="Times New Roman"/>
          <w:lang w:eastAsia="en-GB"/>
        </w:rPr>
        <w:t>E</w:t>
      </w:r>
      <w:r w:rsidRPr="0097421E">
        <w:rPr>
          <w:rFonts w:eastAsia="Times New Roman"/>
          <w:lang w:eastAsia="en-GB"/>
        </w:rPr>
        <w:t>valuate the okf-landregistry</w:t>
      </w:r>
      <w:r>
        <w:rPr>
          <w:rFonts w:eastAsia="Times New Roman"/>
          <w:lang w:eastAsia="en-GB"/>
        </w:rPr>
        <w:t xml:space="preserve"> bundle</w:t>
      </w:r>
    </w:p>
    <w:p w14:paraId="71FC2885" w14:textId="1F8B87E1"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You only have permission to READ files: I want you to evaluate the okf-landregistry Open Knowledge Format (OKF 0.2 with YAML-LD) - is this the way you would do it? What's missing, incorrect, unclear or different to what you would have done?</w:t>
      </w:r>
    </w:p>
    <w:p w14:paraId="71AB6E33"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I'll dig into the repo and evaluate it properly. Let me start by mapping what's actually there.</w:t>
      </w:r>
    </w:p>
    <w:p w14:paraId="58AF8C58"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2 commands</w:t>
      </w:r>
    </w:p>
    <w:p w14:paraId="61A7E282"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Listed repo files</w:t>
      </w:r>
    </w:p>
    <w:p w14:paraId="00A98D91"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Repo size and file count</w:t>
      </w:r>
    </w:p>
    <w:p w14:paraId="03A89C37"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I need to examine the key project files to understand the structure—starting with the README and AGENTS.md, then looking through the documentation, domain profiles, and the JSON-LD bundle. The user mentioned OKF 0.2 with YAML-LD, so I should search for those spec references as I go through the files.</w:t>
      </w:r>
    </w:p>
    <w:p w14:paraId="767DA7B8"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a command, read README.md</w:t>
      </w:r>
    </w:p>
    <w:p w14:paraId="4D983CF6"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Line counts of key files</w:t>
      </w:r>
    </w:p>
    <w:p w14:paraId="646775DE"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Read</w:t>
      </w:r>
      <w:r w:rsidRPr="0097421E">
        <w:rPr>
          <w:rFonts w:ascii="Segoe UI" w:eastAsia="Times New Roman" w:hAnsi="Segoe UI" w:cs="Segoe UI"/>
          <w:color w:val="0B0B0B"/>
          <w:sz w:val="21"/>
          <w:szCs w:val="21"/>
          <w:lang w:eastAsia="en-GB"/>
        </w:rPr>
        <w:t>README.md</w:t>
      </w:r>
    </w:p>
    <w:p w14:paraId="7021B0F1"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I need to check the okf-explorer repository for the OKF specification since evaluating conformance to version 0.2 requires having the spec available.</w:t>
      </w:r>
    </w:p>
    <w:p w14:paraId="578E11F3"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a command, read AGENTS.md</w:t>
      </w:r>
    </w:p>
    <w:p w14:paraId="00536F9F"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Explore okf-explorer repo</w:t>
      </w:r>
    </w:p>
    <w:p w14:paraId="1BEDE029"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Read</w:t>
      </w:r>
      <w:r w:rsidRPr="0097421E">
        <w:rPr>
          <w:rFonts w:ascii="Segoe UI" w:eastAsia="Times New Roman" w:hAnsi="Segoe UI" w:cs="Segoe UI"/>
          <w:color w:val="0B0B0B"/>
          <w:sz w:val="21"/>
          <w:szCs w:val="21"/>
          <w:lang w:eastAsia="en-GB"/>
        </w:rPr>
        <w:t>AGENTS.md</w:t>
      </w:r>
    </w:p>
    <w:p w14:paraId="0FBD3D9F"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I'm looking for the OKF 0.2 specification referenced in the GitHub repository and checking if there's a local copy in okf-explorer, while also tracking down where YAML-LD is mentioned. Let me examine the bundle files like okf-bundle.jsonld and manifest.json to understand the structure.</w:t>
      </w:r>
    </w:p>
    <w:p w14:paraId="69F1AB84"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2 commands</w:t>
      </w:r>
    </w:p>
    <w:p w14:paraId="774DCDFA"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Found OKF spec references in explorer</w:t>
      </w:r>
    </w:p>
    <w:p w14:paraId="7EE3E6A7"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Found YAML-LD references</w:t>
      </w:r>
    </w:p>
    <w:p w14:paraId="08149805"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I'm noticing a discrepancy — the user mentioned "OKF 0.2 with YAML-LD," but the repository explicitly states that YAML-LD is out of scope and only supports JSON-LD projection. I should check whether the OKF 0.2 spec itself uses YAML-LD for markdown front-matter by looking at the conformance documentation.</w:t>
      </w:r>
    </w:p>
    <w:p w14:paraId="1918BB54"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Read okf-conformance.md, ran a command</w:t>
      </w:r>
    </w:p>
    <w:p w14:paraId="64D7523E"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Read</w:t>
      </w:r>
      <w:r w:rsidRPr="0097421E">
        <w:rPr>
          <w:rFonts w:ascii="Segoe UI" w:eastAsia="Times New Roman" w:hAnsi="Segoe UI" w:cs="Segoe UI"/>
          <w:color w:val="0B0B0B"/>
          <w:sz w:val="21"/>
          <w:szCs w:val="21"/>
          <w:lang w:eastAsia="en-GB"/>
        </w:rPr>
        <w:t>okf-conformance.md</w:t>
      </w:r>
    </w:p>
    <w:p w14:paraId="337AEE5D"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Read okf config and registry</w:t>
      </w:r>
    </w:p>
    <w:p w14:paraId="0E173776"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I'm checking whether the LandRegistry bundle has the required OKF core structure—verifying that bundle/index.md and bundle/log.md exist, along with the concept files in bundle/concepts/. Let me examine what's actually in these files to confirm compliance. There's also a discrepancy I need to flag: the user mentions "OKF 0.2 with YAML-LD" but the domain profile explicitly excludes YAML-LD, so I should look for any .yamlld files to see if that's actually present. Before diving deeper into the bundle validation, I should check the OKF spec itself to be authoritative about what the requirements are—I'll look for it locally first before attempting to fetch it.</w:t>
      </w:r>
    </w:p>
    <w:p w14:paraId="2BB75CE5"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2 commands</w:t>
      </w:r>
    </w:p>
    <w:p w14:paraId="34738B6B"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Read bundle markdown core</w:t>
      </w:r>
    </w:p>
    <w:p w14:paraId="4FB8539F"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Inspected bundle layout and jsonld</w:t>
      </w:r>
    </w:p>
    <w:p w14:paraId="6D6CED1A"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 xml:space="preserve">I'm seeing the architecture more clearly now—the OKF core is deliberately lean with just four concepts plus documentation, while the bulk of the data lives in the JSON layer that powers the Explorer. This means a basic OKF consumer reading only the Markdown structure would see just those core concept pages without access to the full catalogue, which is an intentional design pattern. There's also a federation interoperability issue: the user mentioned OKF 0.2 with YAML-LD, but the repository only ships JSON-LD and explicitly excludes YAML-LD. Since the okf-explorer profile treats YAML-LD as canonical for federation and the registry expects a semantic descriptor pointing to it, this bundle would have a gap if registered in the explorer registry. I need to check whether the bundle actually contains any YAML-LD files and what the okf-explorer.json descriptor includes. On the JSON-LD side, the context uses `@vocab: schema.org` with dcat and prov namespaces declared, though I should verify they're actually being used. There are also some data quality quirks like null values and empty strings that are technically valid but </w:t>
      </w:r>
      <w:r w:rsidRPr="0097421E">
        <w:rPr>
          <w:rFonts w:ascii="Segoe UI" w:eastAsia="Times New Roman" w:hAnsi="Segoe UI" w:cs="Segoe UI"/>
          <w:i/>
          <w:iCs/>
          <w:color w:val="0B0B0B"/>
          <w:sz w:val="21"/>
          <w:szCs w:val="21"/>
          <w:lang w:eastAsia="en-GB"/>
        </w:rPr>
        <w:lastRenderedPageBreak/>
        <w:t>add noise. Looking at the metadata structure, the `type` field uses a human-readable phrase like "Scope and Authority" rather than a machine token, which is inconsistent with how OKF and the explorer typically handle types. The `sources` array references an ID like "official-source" that doesn't match the evidence IDs from the evidence register. I need to run some targeted checks to see how widespread these inconsistencies are and whether they affect federation compatibility. More critically, I'm noticing the working tree has uncommitted changes to the bundle checksums and new untracked files like the artifact dependency graph, which means the current state diverges from the released v0.1.0 digest. I should verify whether the release root SHA in CI still matches and then examine the key structural docs like architecture.md and the build script to understand the reproducibility story.</w:t>
      </w:r>
    </w:p>
    <w:p w14:paraId="06D0DF55"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2 commands</w:t>
      </w:r>
    </w:p>
    <w:p w14:paraId="16146E1D"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I'm noticing some structural issues in the JSON-LD: the `dcat` and `prov` prefixes are declared in the context but never actually used, which is a minor correctness problem. I'm also checking for expected properties like `conformsTo` and `license` at the node level, and while `license` appears four times in the JSON, it seems to be scattered rather than consistently applied where it should be. Looking at the actual node structure, all 2202 entries follow the same eight-key pattern: `@id`, `@type`, `dateModified`, `description`, `isPartOf`, `name`, `publisher`, and `url`. This is a significant finding because the JSON-LD projection is dropping all the governed metadata that the project claims to prioritize—things like license, access model, rights, jurisdiction, topics, and record type. The semantic layer isn't capturing the rights and access semantics at all, which defeats the purpose of having a machine-readable semantic entrypoint. Additionally, publishers are represented as inline Organizations with only a name and no URI identifier, so there's no way to reconcile them across bundles or link them to authoritative registers like GOV.UK or Wikidata—every publisher becomes a blank node, which breaks federation. The type mapping is also revealing: nearly all 2202 nodes are typed as `CreativeWork`, even though the descriptor lists 77 different record types and only 3 schema.org types are actually used. This suggests the type crosswalk is essentially unused. I need to verify the top-level node structure, count the licenses, and check whether DCAT is being used at all. Then I'll move into the data plane—looking at the catalogue.json record shape, rights.json, manifest.json, and provenance.json to see what's actually there. I should also verify the checksums and whether determinism holds, and check the git diff to see what's uncommitted.</w:t>
      </w:r>
    </w:p>
    <w:p w14:paraId="28D104C9"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2 commands</w:t>
      </w:r>
    </w:p>
    <w:p w14:paraId="75B159F9"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Inspected JSON-LD root and publishers</w:t>
      </w:r>
    </w:p>
    <w:p w14:paraId="2FD5A62F"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Inspected catalogue record shape</w:t>
      </w:r>
    </w:p>
    <w:p w14:paraId="3255352A"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The internal data model is quite comprehensive with fields like access_model, access_state, authority_role, rights_ref, lifecycle_state, and others—genuinely richer than typical DCAT catalogs. However, the JSON-LD projection strips away nearly all of this nuance, exposing only basic properties like name, description, URL, and publisher, which means the semantic richness is essentially lost in translation. That's a significant gap between what the system can represent internally and what it actually exposes. There's also a correctness issue: the bundle declares itself as a `schema:DataCatalog` with `dataset` properties pointing to `CreativeWorks`, but schema.org specifies that `DataCatalog.dataset` should reference `Dataset` objects—so roughly 2196 out of 2202 dataset links violate the expected range. Beyond that, the projection uses `isPartOf` instead of the more semantically precise `includedInDataCatalog`, and critical fields like `license`, `dcat:accessURL`, and `dcterms:accrualPeriodicity` are missing entirely, even though the domain model has corresponding `licence` and `cadence` fields that simply aren't being projected. The licenses themselves are stored as plain strings rather than URIs, which is honest about the metadata gaps but means there's likely no SPDX or OGL URI coverage anywhere. Now I need to check the documentation, rights configuration, build artifacts, and test coverage to see whether DCAT alignment is even claimed and what the actual build determinism looks like.</w:t>
      </w:r>
    </w:p>
    <w:p w14:paraId="09E548CE"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Read 2 files</w:t>
      </w:r>
    </w:p>
    <w:p w14:paraId="3C26B152"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Read</w:t>
      </w:r>
      <w:r w:rsidRPr="0097421E">
        <w:rPr>
          <w:rFonts w:ascii="Segoe UI" w:eastAsia="Times New Roman" w:hAnsi="Segoe UI" w:cs="Segoe UI"/>
          <w:color w:val="0B0B0B"/>
          <w:sz w:val="21"/>
          <w:szCs w:val="21"/>
          <w:lang w:eastAsia="en-GB"/>
        </w:rPr>
        <w:t>metadata-model.md</w:t>
      </w:r>
    </w:p>
    <w:p w14:paraId="336D7041"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Read</w:t>
      </w:r>
      <w:r w:rsidRPr="0097421E">
        <w:rPr>
          <w:rFonts w:ascii="Segoe UI" w:eastAsia="Times New Roman" w:hAnsi="Segoe UI" w:cs="Segoe UI"/>
          <w:color w:val="0B0B0B"/>
          <w:sz w:val="21"/>
          <w:szCs w:val="21"/>
          <w:lang w:eastAsia="en-GB"/>
        </w:rPr>
        <w:t>standards.md</w:t>
      </w:r>
    </w:p>
    <w:p w14:paraId="087842CF"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 xml:space="preserve">I'm noticing a gap between what the standards register claims and what's actually implemented—the JSON-LD context declares DCAT and PROV prefixes but never uses them, so the documentation overstates the coverage of these standards. Looking at the actual data, there's another mismatch: the metadata model describes typed, directed relationships with fields like `has_distribution` and `supersedes`, but the catalogue records have no relationships at all. I need to check the relationships files to see what's actually there—there are exactly 2202 relationships for 2202 records, which seems suspiciously one-to-one. I should also verify whether any records </w:t>
      </w:r>
      <w:r w:rsidRPr="0097421E">
        <w:rPr>
          <w:rFonts w:ascii="Segoe UI" w:eastAsia="Times New Roman" w:hAnsi="Segoe UI" w:cs="Segoe UI"/>
          <w:i/>
          <w:iCs/>
          <w:color w:val="0B0B0B"/>
          <w:sz w:val="21"/>
          <w:szCs w:val="21"/>
          <w:lang w:eastAsia="en-GB"/>
        </w:rPr>
        <w:lastRenderedPageBreak/>
        <w:t>actually have distributions, since that entity is in the model but wasn't present in the catalogue record shape I examined. I'm going to batch several analyses together: field coverage across all records, how many are curated versus not, what the relationships actually contain, and then look at the evaluation framework—the 24 questions and their metric thresholds in the evaluation code and latest report.</w:t>
      </w:r>
    </w:p>
    <w:p w14:paraId="08A7C6D6"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2 commands</w:t>
      </w:r>
    </w:p>
    <w:p w14:paraId="2783A5BC"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Field coverage and vocab distribution</w:t>
      </w:r>
    </w:p>
    <w:p w14:paraId="0079D44C"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Inspected relationships data plane</w:t>
      </w:r>
    </w:p>
    <w:p w14:paraId="5CD22786"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Looking at the actual data, there's only one relationship type being used—`published_by`—appearing 2202 times across all records. But the documentation lists nine different relationship types that should theoretically be available, none of which are actually showing up in the output. So the relationship graph is essentially just a single, trivial connection pattern. I'm also noticing there are 23 merged representations and an `equivalent_urls` field, but `is_representation_of` isn't being materialized as a relationship. The ID schemes are inconsistent too—opaque hashes like `dataset/record-cadc280d5b30fef8eaf81100` in the explorer versus `github:LandRegistry/.github` in the catalogue, plus label-based IDs with spaces like `publisher/HM Land Registry` instead of URIs. That breaks the promise of preserving source-native identifiers and makes it impossible for publishers to reconcile across bundles. Now I need to dig into determinism by building twice and checking checksums against the uncommitted diff, review what the evaluation report actually measures, look at the tests and coverage metrics, verify the coverage.json and reconciliation.json denominator claims, check how the domain-profile schema is vendored and its checksums, and figure out why the dist zip diverges from the current bundle state.</w:t>
      </w:r>
    </w:p>
    <w:p w14:paraId="05431733"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2 commands</w:t>
      </w:r>
    </w:p>
    <w:p w14:paraId="79DDC475"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Checked uncommitted generated changes</w:t>
      </w:r>
    </w:p>
    <w:p w14:paraId="4BC6C0E7"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Read reconciliation denominators</w:t>
      </w:r>
    </w:p>
    <w:p w14:paraId="22E33643"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I'm noticing there's a mismatch between what's currently checked out and what's been released — the bundle has uncommitted changes including new Explorer data plane files, while the released v0.1.0 doesn't include these yet, and the README or CI might be making claims that don't align with this mid-work state. Let me verify the build receipt and validation records to see if the root SHA digests are consistent, then check what's new in the dependency graph and artifact tracking before evaluating the reproducibility claims.</w:t>
      </w:r>
    </w:p>
    <w:p w14:paraId="01A561BD"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2 commands</w:t>
      </w:r>
    </w:p>
    <w:p w14:paraId="40A34862"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Compared build receipt and release record</w:t>
      </w:r>
    </w:p>
    <w:p w14:paraId="531C9E56"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Read evaluation report summary</w:t>
      </w:r>
    </w:p>
    <w:p w14:paraId="0BF31A2B"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The evaluation setup has a fundamental circularity problem—the same process that built the index and search contract also authored the test questions, so it's designed to succeed. The metrics all hit 1.0 with an MRR of 0.86, but that's because the expected sources were drawn directly from the corpus. There are no actual hard-failure tests being run, and the evaluation cuts off mid-thought on whether all expected targets are succeeding at the given k value. I need to dig into the questions file to see if there's any handling for near-miss cases or negative assertions—cases where something should explicitly not be retrieved. Then I'll check the test determinism, accessibility claims, and coverage metrics.</w:t>
      </w:r>
    </w:p>
    <w:p w14:paraId="083F9DB2"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2 commands</w:t>
      </w:r>
    </w:p>
    <w:p w14:paraId="0B916060"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Inspected evaluation questions</w:t>
      </w:r>
    </w:p>
    <w:p w14:paraId="632B0AE1"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Listed test functions</w:t>
      </w:r>
    </w:p>
    <w:p w14:paraId="054D48F0"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 xml:space="preserve">The test suite is solid—93 tests covering byte-determinism, fail-closed releases, symlink and path-escape rejection, CSV formula injection protection, SHA-pinned actions, and no-JS navigability. This is genuinely better than what I see in most public-sector data projects. I want to actually run the test suite to verify it passes in the current state, but I'm hitting a constraint here—the user said I only have read permission, and running tests typically writes temporary files, so that might violate the boundary. Let me think about this differently. The evaluation doesn't strictly require execution—I can assess the design quality without running anything. But verifying the checksums would be pure read-only: I can recompute the SHA256 hashes of files listed in the bundle's checksum file and compare them against what's recorded. That's a concrete way to validate one of the key claims without mutating anything. I should also check whether the domain-profile JSON/YAML equivalence actually holds, and I've noticed something important: the evaluation questions declare `hard_failure_ids` but the report shows `hard_failures_evaluated: false`, meaning those failures are identified but never actually tested. That's a real gap. The `near_miss_rule` is also just prose without any machine-checkable enforcement—it's documented but not </w:t>
      </w:r>
      <w:r w:rsidRPr="0097421E">
        <w:rPr>
          <w:rFonts w:ascii="Segoe UI" w:eastAsia="Times New Roman" w:hAnsi="Segoe UI" w:cs="Segoe UI"/>
          <w:i/>
          <w:iCs/>
          <w:color w:val="0B0B0B"/>
          <w:sz w:val="21"/>
          <w:szCs w:val="21"/>
          <w:lang w:eastAsia="en-GB"/>
        </w:rPr>
        <w:lastRenderedPageBreak/>
        <w:t>validated anywhere. Let me verify the checksums, then examine the architecture and maintenance documentation along with the coverage data to get a fuller picture.</w:t>
      </w:r>
    </w:p>
    <w:p w14:paraId="00F3C195"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2 commands</w:t>
      </w:r>
    </w:p>
    <w:p w14:paraId="225632EB"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Verified bundle checksums</w:t>
      </w:r>
    </w:p>
    <w:p w14:paraId="5FEC2747"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Checked profile JSON/YAML equivalence</w:t>
      </w:r>
    </w:p>
    <w:p w14:paraId="01ABC632"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The integrity check confirms all 421 files are accounted for with no mismatches, and the manifest is complete. The "missing: ['']" is just a parsing artifact from a trailing empty entry that I can disregard. Now I'm checking the YAML equivalence using the venv Python, then reviewing the architecture documentation and the coverage.json and rights.json structures.</w:t>
      </w:r>
    </w:p>
    <w:p w14:paraId="35DF1D8B"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CD2054"/>
          <w:sz w:val="21"/>
          <w:szCs w:val="21"/>
          <w:lang w:eastAsia="en-GB"/>
        </w:rPr>
        <w:t>Ran</w:t>
      </w:r>
      <w:r w:rsidRPr="0097421E">
        <w:rPr>
          <w:rFonts w:ascii="Segoe UI" w:eastAsia="Times New Roman" w:hAnsi="Segoe UI" w:cs="Segoe UI"/>
          <w:color w:val="6D6B67"/>
          <w:sz w:val="21"/>
          <w:szCs w:val="21"/>
          <w:lang w:eastAsia="en-GB"/>
        </w:rPr>
        <w:t> a command, read architecture.md</w:t>
      </w:r>
    </w:p>
    <w:p w14:paraId="4B7D2BE0"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I'm noticing a mismatch between what the architecture documentation claims and what actually exists in the repo—the referenced contracts directory and test file aren't there, which is a real gap between the docs and the codebase. There's also an incomplete thought about a canonical URL that got cut off. Now I need to verify whether that declared identity namespace is actually used anywhere in the JSON-LD records, check if the change_impact.py graph references those nodes, and confirm the domain-profile YAML equivalence by checking what's available in the Python environment.</w:t>
      </w:r>
    </w:p>
    <w:p w14:paraId="1C08FAB5"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2 commands</w:t>
      </w:r>
    </w:p>
    <w:p w14:paraId="1F86AC6D"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Checked for missing referenced files</w:t>
      </w:r>
    </w:p>
    <w:p w14:paraId="0C918DB2"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Checked venv packages and workflows</w:t>
      </w:r>
    </w:p>
    <w:p w14:paraId="46F58CB4"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I've found a real issue: the artifact dependency graph and architecture docs reference a test file, while the build script reads a contracts file that actually exists—I just missed it earlier because my initial file search was truncated at 200 lines. The problem is that `tests/test_explorer_contract.py` doesn't exist, yet the change-impact graph marks it as a focused test, which means `change_impact.py` would try to run a test that can't be found. And the architecture documentation makes a claim about a schema validation gate that doesn't actually exist in the code—that's an overclaim. I need to check whether the graph validation in `change_impact.py` or `test_change_impact.py` validates that referenced test files actually exist, and I should also run a complete file listing to get the full picture of what's in the repository.</w:t>
      </w:r>
    </w:p>
    <w:p w14:paraId="5523A138"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2 commands</w:t>
      </w:r>
    </w:p>
    <w:p w14:paraId="52ECB44A"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Full authored file listing</w:t>
      </w:r>
    </w:p>
    <w:p w14:paraId="5DCD57A4"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Checked change_impact existence validation and consumer lock</w:t>
      </w:r>
    </w:p>
    <w:p w14:paraId="29A829D6"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The consumer lock mechanism looks solid in pinning source file digests, but there's a disconnect — the test file it references doesn't actually exist, yet three different configuration files claim it as a validator. This is uncommitted work in progress, though the architecture documentation seems to be addressing it. I'm noticing the docs make a present-tense claim about preventing invalid schema producers from being treated as usable, but that's not actually enforced right now. I should also check whether `contracts/` and `validation/` directories are documented in the repository maps, and then trace through the change impact graph validation to see if it verifies test files exist. There's also the release gate workflow to examine, plus some duplication in the search systems — two separate manifests for search functionality that seems redundant.</w:t>
      </w:r>
    </w:p>
    <w:p w14:paraId="3359C8DD"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2 commands</w:t>
      </w:r>
    </w:p>
    <w:p w14:paraId="167BA320"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Read change_impact structure</w:t>
      </w:r>
    </w:p>
    <w:p w14:paraId="202DB820"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Read Pages workflow</w:t>
      </w:r>
    </w:p>
    <w:p w14:paraId="14FD71A1"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The CI pipeline has solid security practices with pinned actions and locked dependencies, but there's a critical vulnerability in the release gate logic. The deployment steps are all gated behind a check for `vars.OKF_RELEASE_ROOT_SHA256`, which means if that repository variable gets unset or deleted, the approval check gets skipped entirely and deployment proceeds without validation. The build verification also relies on byte-deterministic output across different Python versions and environments, which is fragile. More importantly, the workflow doesn't actually run the change-impact analysis tool or verify the consumer lock against the real explorer repository—that verification requires network access the CI environment doesn't have, so the lock is essentially unvalidated. Now I need to dig into the OKF spec itself to understand the core conformance requirements. I don't have network access to fetch it directly, but I can check if it's vendored in the okf-explorer codebase or examine how the conformance checker validates the structure. Let me look at the check logic and compare it against the markdown conventions used in okf-explorer to understand what the spec actually requires.</w:t>
      </w:r>
    </w:p>
    <w:p w14:paraId="59FCE456"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lastRenderedPageBreak/>
        <w:t>Ran 2 commands</w:t>
      </w:r>
    </w:p>
    <w:p w14:paraId="55D08F95"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Look at explorer OKF checker</w:t>
      </w:r>
    </w:p>
    <w:p w14:paraId="3D2126E3"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Compared explorer concept frontmatter</w:t>
      </w:r>
    </w:p>
    <w:p w14:paraId="3BDDB18D"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I'm noticing inconsistencies in how the two datasets structure their metadata. The explorer uses a CamelCase token format like `type: "Specification"` while LandRegistry uses a more human-readable sentence format like `type: "Scope and Authority"` — the latter is less useful as a machine-readable identifier. There's also a difference in how they reference sources, with LandRegistry using an array structure versus explorer's simpler approach. It looks like LandRegistry is also missing the `okf-check` field that explorer has. More critically, LandRegistry doesn't have a proper OKF 0.2 specification validator in place. The only check is a local ad-hoc test in the test suite, not the pinned spec validator that the documentation claims is normative. The docs say STD-OKF-02 should be validated against the pinned specification, but there's no actual validator in the repo to enforce that. I should search through the build and test files to confirm whether any OKF core validation actually exists. There's also a structural issue: OKF 0.2 specifies that nested index.md files should have no frontmatter and provide progressive disclosure, but LandRegistry's `concepts/` directory has concept files without a corresponding `concepts/index.md`. The explorer's validation requires section index.md files — I need to check whether that's an OKF normative requirement or just an explorer-specific profile constraint. Now I need to verify whether there's actual OKF core validation in the tests, check if build.py generates the markdown, look at the search duplication and coverage.json to assess the denominator claim, and examine whether pages/ and bundle/ are duplicates with different index.html files.</w:t>
      </w:r>
    </w:p>
    <w:p w14:paraId="42F134F5"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2 commands</w:t>
      </w:r>
    </w:p>
    <w:p w14:paraId="3A896077"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Read OKF core test</w:t>
      </w:r>
    </w:p>
    <w:p w14:paraId="43467751"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Read coverage/denominator</w:t>
      </w:r>
    </w:p>
    <w:p w14:paraId="015C4036"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I'm noticing a critical inconsistency in the `record_type` vocabulary — it contains 77 values that mix two different naming conventions, with GOV.UK's snake_case entries like `news_story` and `press_release` sitting alongside locally-created kebab-case ones like `api-catalogue-record` and `geospatial-dataset`. The documentation claims this comes from a controlled vocabulary, but there actually isn't one defined anywhere. The real problem is that this isn't a controlled vocabulary at all — it's a passthrough of GOV.UK's `content_store_document_type` with hand-curated additions tacked on, and many values only appear once. This creates a usability nightmare: faceting on `record_type` produces a 77-item list with a long tail of singletons, and semantically related concepts like `dataset`, `geospatial-dataset`, `licensed-dataset`, and `historical-dataset` are treated as completely separate tokens with no hierarchy. The same fragmentation happens with guidance-related types — `guidance`, `guide`, `detailed_guide`, `practice-guide`, and several others all exist as distinct buckets, so a user searching for "guidance" hits five or more unrelated categories. Meanwhile, `access_model` has roughly 28 values mostly appearing once, and many are just free-text sentences being used as facet keys, which defeats the purpose of a controlled field. The `licence` field has similar issues with only about 4 distinct values. The docs claim `cadence` and `jurisdiction` are governed, but they're actually free text with 49 and 18 values respectively — mostly singletons. The one genuinely controlled field is `access_state` with 7 values, which shows the right pattern. The real issue is that the consumer lock lists `access` and `access_model` as required filter keys, and faceting on free-text fields like `licence` and `cadence` will produce facets with 45 to 49 singleton values, making them completely useless. That's a concrete, actionable problem. I need to check a few more things quickly: the shape of rights.json, whether there's duplication between pages/ and bundle/, what's in provenance.json, the dist/ zip versus the current bundle, governance/requirements.json and its traceability closure, and any accessibility claims.</w:t>
      </w:r>
    </w:p>
    <w:p w14:paraId="4B180CAB"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2 commands</w:t>
      </w:r>
    </w:p>
    <w:p w14:paraId="74AAC6AC"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Inspected rights and provenance planes</w:t>
      </w:r>
    </w:p>
    <w:p w14:paraId="5694B5E2"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Compared authored pages vs generated bundle</w:t>
      </w:r>
    </w:p>
    <w:p w14:paraId="2212939E"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 xml:space="preserve">The rights model is solid with its seven-layer structure covering allowed fields, prohibited content, attribution, review triggers, and status—genuinely more sophisticated than most UK government open data implementations. The main gap is that it's not being projected into JSON-LD format, and there's some redundancy where the pages directory gets byte-copied into the bundle during the build process, which means duplicate copies of the JavaScript and CSS files sitting in git. I'm about to run another important verification check. Let me cross-check the "complete_for_govuk_hmlr_filter_at_snapshot" claim against the actual reconciliation numbers: GOV.UK search returned 1866 records, the catalogue shows 1843 govuk-search entries plus 25 govuk-hmlr entries, which accounts for 1868 total with 23 merged records—the math checks out. Now I need to look at the risk register and the </w:t>
      </w:r>
      <w:r w:rsidRPr="0097421E">
        <w:rPr>
          <w:rFonts w:ascii="Segoe UI" w:eastAsia="Times New Roman" w:hAnsi="Segoe UI" w:cs="Segoe UI"/>
          <w:i/>
          <w:iCs/>
          <w:color w:val="0B0B0B"/>
          <w:sz w:val="21"/>
          <w:szCs w:val="21"/>
          <w:lang w:eastAsia="en-GB"/>
        </w:rPr>
        <w:lastRenderedPageBreak/>
        <w:t>deferred items in the domain profile to see whether these gaps are already flagged as known risks, which would reframe this as a prioritization issue rather than an oversight.</w:t>
      </w:r>
    </w:p>
    <w:p w14:paraId="3DB5D92F"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2 commands</w:t>
      </w:r>
    </w:p>
    <w:p w14:paraId="0459B02D"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The risk register covers 17 risks including the consumer-lock issue, but I notice it's missing coverage for semantic projection losses and uncontrolled record_type vocabularies — those are the real gaps. I'm ready to wrap up with a couple final checks. I need to search the build script to see if it actually outputs DCAT or PROV anywhere, and then review the domain profile's decision register to understand what's been documented about interoperability and semantic layer choices.</w:t>
      </w:r>
    </w:p>
    <w:p w14:paraId="7FC8687D"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2 commands</w:t>
      </w:r>
    </w:p>
    <w:p w14:paraId="465D81D0"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Checked JSON-LD generation and decision register</w:t>
      </w:r>
    </w:p>
    <w:p w14:paraId="0C49F2E4"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Read JSON-LD projection code and decisions</w:t>
      </w:r>
    </w:p>
    <w:p w14:paraId="0BF7BEA4"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I'm seeing that the `type_map` includes an "api" entry mapping to "WebAPI", but the actual record types in the data are things like `api-catalogue-record`, `api-documentation`, and `api-catalogue` — never just "api". This means that WebAPI mapping is unreachable dead code. The type census confirms only CreativeWork, SoftwareSourceCode, and Dataset are actually being emitted. For datasets, even though there's a "dataset" mapping to "Dataset", the real record types are `geospatial-dataset`, `licensed-dataset`, `historical-dataset`, and `dataset-catalogue`, which all get mapped to CreativeWork instead. So the Dataset type is barely used despite having a dedicated mapping. Now I need to structure my evaluation directly addressing the user's question about what's right, what's wrong, what's missing, and what I'd do differently. I should lead with a framing correction — the repo doesn't actually contain YAML-LD as shipped, it's reference-only — then work through specific line-by-line issues with the standards mappings and type logic. I'm verifying the line numbers across these files to make sure they're accurate. The standards doc checks out, and I've confirmed the build.py references. For the metadata model, I need to be careful about how I characterize those nine relationship predicates—the doc frames them as "expected examples" rather than claiming they're fully implemented, so there's a gap between the model and what's actually in the artifacts, but I shouldn't overstate it as a false claim. Looking at the core entities now, I see Distribution is described in the model docs with format, access URL, fee, and license fields, but the actual records don't have distributions—they just have a flat `formats` list. There's also `representations` which handles the canonical-URL merge, but that's different from what the model describes. So that's another real gap: the documentation models entities that don't materialize in the data. I'm checking whether the other entities like `EvaluationCase`, `ProvenanceActivity`, `SourceFamily`, `Evidence`, and `RightsAssessment` actually exist in the registers. The key insight is that the implementation uses a single flat `Record` table with a `record_type` discriminator string, whereas the documentation promises distinct typed entities like `ApiProduct`, `Service`, `Document`, and `Dataset`. All 2202 records share the exact same 34 fields—no per-type variations at all—so every record carries fields like `cadence`, `licence`, and `audience` regardless of whether it's a news story or something else. That's the fundamental modelling choice: flat uniformity versus the typed structure the docs suggest. Now I'm noticing something more problematic: the docs explicitly state "Represent unknown values explicitly; do not replace them with empty certainty," but 1843 records use "source-specific" as a placeholder string for unknown values—exactly what the design rule forbids. Yet elsewhere in the same dataset, they do handle unknowns properly with `lifecycle_state: unknown`, so it's an inconsistency worth flagging. Let me also check how many records have empty descriptions, since that could be another instance of the same pattern.</w:t>
      </w:r>
    </w:p>
    <w:p w14:paraId="3A595AB1"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Checked field emptiness rates</w:t>
      </w:r>
    </w:p>
    <w:p w14:paraId="10F90C39"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Bash</w:t>
      </w:r>
    </w:p>
    <w:p w14:paraId="3D56AAF8"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0073E6"/>
          <w:sz w:val="20"/>
          <w:szCs w:val="20"/>
          <w:lang w:eastAsia="en-GB"/>
        </w:rPr>
        <w:t>python3</w:t>
      </w:r>
      <w:r w:rsidRPr="0097421E">
        <w:rPr>
          <w:rFonts w:ascii="Courier New" w:eastAsia="Times New Roman" w:hAnsi="Courier New" w:cs="Courier New"/>
          <w:color w:val="1E9E3C"/>
          <w:sz w:val="20"/>
          <w:szCs w:val="20"/>
          <w:lang w:eastAsia="en-GB"/>
        </w:rPr>
        <w:t xml:space="preserve"> -</w:t>
      </w:r>
      <w:r w:rsidRPr="0097421E">
        <w:rPr>
          <w:rFonts w:ascii="Courier New" w:eastAsia="Times New Roman" w:hAnsi="Courier New" w:cs="Courier New"/>
          <w:color w:val="737373"/>
          <w:sz w:val="20"/>
          <w:szCs w:val="20"/>
          <w:lang w:eastAsia="en-GB"/>
        </w:rPr>
        <w:t xml:space="preserve"> &lt;&lt;</w:t>
      </w:r>
      <w:r w:rsidRPr="0097421E">
        <w:rPr>
          <w:rFonts w:ascii="Courier New" w:eastAsia="Times New Roman" w:hAnsi="Courier New" w:cs="Courier New"/>
          <w:color w:val="1E9E3C"/>
          <w:sz w:val="20"/>
          <w:szCs w:val="20"/>
          <w:lang w:eastAsia="en-GB"/>
        </w:rPr>
        <w:t>'PY'</w:t>
      </w:r>
    </w:p>
    <w:p w14:paraId="40E9B1C7"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import json,collections</w:t>
      </w:r>
    </w:p>
    <w:p w14:paraId="6055F648"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c=json.load(open('bundle/data/catalogue.json'))["records"]</w:t>
      </w:r>
    </w:p>
    <w:p w14:paraId="5CD623F0"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empty=sum(1 for r in c if not r["description"].strip())</w:t>
      </w:r>
    </w:p>
    <w:p w14:paraId="1E2D8ABA"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nodate=sum(1 for r in c if not r["publisher_last_updated"])</w:t>
      </w:r>
    </w:p>
    <w:p w14:paraId="542FC18F"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notopic=sum(1 for r in c if not r["topics"])</w:t>
      </w:r>
    </w:p>
    <w:p w14:paraId="4721696F"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nolang=sum(1 for r in c if not r["languages"])</w:t>
      </w:r>
    </w:p>
    <w:p w14:paraId="67D6A309"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print(f"records={len(c)} empty_description={empty} no_publisher_date={nodate} no_topics={notopic} no_languages={nolang}")</w:t>
      </w:r>
    </w:p>
    <w:p w14:paraId="303976B3"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print("audience:",collections.Counter(tuple(r['audience']) for r in c).most_common(5))</w:t>
      </w:r>
    </w:p>
    <w:p w14:paraId="278B701E"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print("record_type=='api':",sum(1 for r in c if r['record_type']=='api'))</w:t>
      </w:r>
    </w:p>
    <w:p w14:paraId="2B59067E"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print("caveats empty:",sum(1 for r in c if not r['caveats']))</w:t>
      </w:r>
    </w:p>
    <w:p w14:paraId="115AD037"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lastRenderedPageBreak/>
        <w:t>PY</w:t>
      </w:r>
    </w:p>
    <w:p w14:paraId="63F2898C" w14:textId="77777777" w:rsidR="0097421E" w:rsidRPr="0097421E" w:rsidRDefault="0097421E" w:rsidP="0097421E">
      <w:pPr>
        <w:shd w:val="clear" w:color="auto" w:fill="FCFCFB"/>
        <w:wordWrap w:val="0"/>
        <w:rPr>
          <w:rFonts w:ascii="Courier New" w:eastAsia="Times New Roman" w:hAnsi="Courier New" w:cs="Courier New"/>
          <w:color w:val="6D6B67"/>
          <w:sz w:val="20"/>
          <w:szCs w:val="20"/>
          <w:lang w:eastAsia="en-GB"/>
        </w:rPr>
      </w:pPr>
      <w:r w:rsidRPr="0097421E">
        <w:rPr>
          <w:rFonts w:ascii="Courier New" w:eastAsia="Times New Roman" w:hAnsi="Courier New" w:cs="Courier New"/>
          <w:color w:val="6D6B67"/>
          <w:sz w:val="20"/>
          <w:szCs w:val="20"/>
          <w:lang w:eastAsia="en-GB"/>
        </w:rPr>
        <w:t>records=2202 empty_description=114 no_publisher_date=45 no_topics=6 no_languages=2199 audience: [((), 1843), (('developer',), 304), (('commercial-reusers', 'data-users', 'property-professionals', 'researchers'), 4), (('applicants', 'conveyancers', 'property-professionals', 'public'), 2), (('data-users', 'gis-users', 'researchers'), 2)] record_type=='api': 0 caveats empty: 0</w:t>
      </w:r>
    </w:p>
    <w:p w14:paraId="6A93A935"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I'm noticing a critical gap between the stated requirements and the actual data — RISK-012 flags English-only assumptions as a hard failure and the README emphasizes Welsh-language distinctions as essential, yet the `languages` field is populated for only 3 out of 2202 records. This means the mitigation for this risk category isn't actually reflected in the dataset. Similarly, the `audience` field is missing for most records, suggesting these metadata fields aren't being consistently captured despite their importance to the risk framework.</w:t>
      </w:r>
    </w:p>
    <w:p w14:paraId="3DCF3EEE"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Checked Welsh-language coverage in data</w:t>
      </w:r>
    </w:p>
    <w:p w14:paraId="52AE00C9"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Bash</w:t>
      </w:r>
    </w:p>
    <w:p w14:paraId="7860EE11"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0073E6"/>
          <w:sz w:val="20"/>
          <w:szCs w:val="20"/>
          <w:lang w:eastAsia="en-GB"/>
        </w:rPr>
        <w:t>python3</w:t>
      </w:r>
      <w:r w:rsidRPr="0097421E">
        <w:rPr>
          <w:rFonts w:ascii="Courier New" w:eastAsia="Times New Roman" w:hAnsi="Courier New" w:cs="Courier New"/>
          <w:color w:val="1E9E3C"/>
          <w:sz w:val="20"/>
          <w:szCs w:val="20"/>
          <w:lang w:eastAsia="en-GB"/>
        </w:rPr>
        <w:t xml:space="preserve"> -</w:t>
      </w:r>
      <w:r w:rsidRPr="0097421E">
        <w:rPr>
          <w:rFonts w:ascii="Courier New" w:eastAsia="Times New Roman" w:hAnsi="Courier New" w:cs="Courier New"/>
          <w:color w:val="737373"/>
          <w:sz w:val="20"/>
          <w:szCs w:val="20"/>
          <w:lang w:eastAsia="en-GB"/>
        </w:rPr>
        <w:t xml:space="preserve"> &lt;&lt;</w:t>
      </w:r>
      <w:r w:rsidRPr="0097421E">
        <w:rPr>
          <w:rFonts w:ascii="Courier New" w:eastAsia="Times New Roman" w:hAnsi="Courier New" w:cs="Courier New"/>
          <w:color w:val="1E9E3C"/>
          <w:sz w:val="20"/>
          <w:szCs w:val="20"/>
          <w:lang w:eastAsia="en-GB"/>
        </w:rPr>
        <w:t>'PY'</w:t>
      </w:r>
    </w:p>
    <w:p w14:paraId="3999F438"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import json</w:t>
      </w:r>
    </w:p>
    <w:p w14:paraId="623ACD5A"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c=json.load(open('bundle/data/catalogue.json'))["records"]</w:t>
      </w:r>
    </w:p>
    <w:p w14:paraId="04E4DAB4"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print("records with languages:")</w:t>
      </w:r>
    </w:p>
    <w:p w14:paraId="5AA6D92C"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for r in c:</w:t>
      </w:r>
    </w:p>
    <w:p w14:paraId="4DE64626"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 xml:space="preserve">    if r["languages"]: print(" ",r["id"],r["languages"],r["title"][:60])</w:t>
      </w:r>
    </w:p>
    <w:p w14:paraId="161DFF7E"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w=[r for r in c if "welsh" in json.dumps(r).lower() or "cymraeg" in json.dumps(r).lower()]</w:t>
      </w:r>
    </w:p>
    <w:p w14:paraId="17DF3687"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print("records mentioning welsh/cymraeg:",len(w))</w:t>
      </w:r>
    </w:p>
    <w:p w14:paraId="693BA3E5"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for r in w[:8]: print("  -",r["record_type"],"|",r["title"][:70])</w:t>
      </w:r>
    </w:p>
    <w:p w14:paraId="300B73A4" w14:textId="77777777" w:rsidR="0097421E" w:rsidRPr="0097421E" w:rsidRDefault="0097421E" w:rsidP="0097421E">
      <w:pPr>
        <w:shd w:val="clear" w:color="auto" w:fill="FCFCF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1A1A1A"/>
          <w:sz w:val="20"/>
          <w:szCs w:val="20"/>
          <w:lang w:eastAsia="en-GB"/>
        </w:rPr>
      </w:pPr>
      <w:r w:rsidRPr="0097421E">
        <w:rPr>
          <w:rFonts w:ascii="Courier New" w:eastAsia="Times New Roman" w:hAnsi="Courier New" w:cs="Courier New"/>
          <w:color w:val="1E9E3C"/>
          <w:sz w:val="20"/>
          <w:szCs w:val="20"/>
          <w:lang w:eastAsia="en-GB"/>
        </w:rPr>
        <w:t>PY</w:t>
      </w:r>
    </w:p>
    <w:p w14:paraId="42602030" w14:textId="77777777" w:rsidR="0097421E" w:rsidRPr="0097421E" w:rsidRDefault="0097421E" w:rsidP="0097421E">
      <w:pPr>
        <w:shd w:val="clear" w:color="auto" w:fill="FCFCFB"/>
        <w:wordWrap w:val="0"/>
        <w:rPr>
          <w:rFonts w:ascii="Courier New" w:eastAsia="Times New Roman" w:hAnsi="Courier New" w:cs="Courier New"/>
          <w:color w:val="6D6B67"/>
          <w:sz w:val="20"/>
          <w:szCs w:val="20"/>
          <w:lang w:eastAsia="en-GB"/>
        </w:rPr>
      </w:pPr>
      <w:r w:rsidRPr="0097421E">
        <w:rPr>
          <w:rFonts w:ascii="Courier New" w:eastAsia="Times New Roman" w:hAnsi="Courier New" w:cs="Courier New"/>
          <w:color w:val="6D6B67"/>
          <w:sz w:val="20"/>
          <w:szCs w:val="20"/>
          <w:lang w:eastAsia="en-GB"/>
        </w:rPr>
        <w:t>records with languages: hmlr:policy:welsh-language-scheme ['English', 'Welsh'] HM Land Registry Welsh Language Scheme hmlr:policy:welsh-language-scheme-publication ['English', 'Welsh'] HM Land Registry Welsh Language Scheme publication hmlr:accessibility:ulpd ['English'] Use land and property data accessibility statement records mentioning welsh/cymraeg: 10 - news_story | A monumental week in Local Land Charges - news_story | Deregulation of Welsh housing associations: registration requirements - guidance | HM Land Registry Welsh glossary of legal terms - language-policy | HM Land Registry Welsh Language Scheme - statutory_guidance | HM Land Registry Welsh Language Scheme - language-policy | HM Land Registry Welsh Language Scheme publication - guidance-collection | Land registration practice guides - news_story | National local land charges service available in Wales</w:t>
      </w:r>
    </w:p>
    <w:p w14:paraId="7CBFA175"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I'm noticing that only 3 out of 2202 records have language data, and just 2 of those are Welsh-policy records that actually claim Welsh support. GOV.UK's search API does expose locale information and publishes Welsh translations, but the acquisition process isn't capturing that. So while RISK-012 mitigation is documented, the actual data doesn't reflect it. Let me check if the acquisition script is even requesting locale data.</w:t>
      </w:r>
    </w:p>
    <w:p w14:paraId="5EA20568"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Ran 2 commands</w:t>
      </w:r>
    </w:p>
    <w:p w14:paraId="08B64306"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Checked GOV.UK search fields requested</w:t>
      </w:r>
    </w:p>
    <w:p w14:paraId="5335E14B"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6D6B67"/>
          <w:sz w:val="21"/>
          <w:szCs w:val="21"/>
          <w:lang w:eastAsia="en-GB"/>
        </w:rPr>
        <w:t>Read GOV.UK search field list</w:t>
      </w:r>
    </w:p>
    <w:p w14:paraId="5510E937" w14:textId="77777777" w:rsidR="0097421E" w:rsidRPr="0097421E" w:rsidRDefault="0097421E" w:rsidP="0097421E">
      <w:pPr>
        <w:shd w:val="clear" w:color="auto" w:fill="FCFCFB"/>
        <w:rPr>
          <w:rFonts w:ascii="Segoe UI" w:eastAsia="Times New Roman" w:hAnsi="Segoe UI" w:cs="Segoe UI"/>
          <w:i/>
          <w:iCs/>
          <w:color w:val="0B0B0B"/>
          <w:sz w:val="21"/>
          <w:szCs w:val="21"/>
          <w:lang w:eastAsia="en-GB"/>
        </w:rPr>
      </w:pPr>
      <w:r w:rsidRPr="0097421E">
        <w:rPr>
          <w:rFonts w:ascii="Segoe UI" w:eastAsia="Times New Roman" w:hAnsi="Segoe UI" w:cs="Segoe UI"/>
          <w:i/>
          <w:iCs/>
          <w:color w:val="0B0B0B"/>
          <w:sz w:val="21"/>
          <w:szCs w:val="21"/>
          <w:lang w:eastAsia="en-GB"/>
        </w:rPr>
        <w:t xml:space="preserve">So `record_type` is pulling directly from GOV.UK's native document type vocabulary—that's the passthrough mechanism preserving the source semantics. But the curated records layer in a completely different kebab-case vocabulary without any way to distinguish between them, and there's no `record_type_scheme` field to clarify which vocabulary is being used. That's the core problem: two separate vocabularies occupying the same field with no discriminator. I have what I need to write this up. I'll structure the review with a framing correction first—there's no YAML-LD here—then move through the overall assessment, what's worth keeping, what's factually incorrect, what's missing, what's unclear, and the architectural disagreements. I'll anchor everything in specific numbers: 2202 records total with 55 curated and 2147 normalized, the JSON-LD structure with 8 predicates per node and the type distribution across CreativeWork, SoftwareSourceCode, and Dataset, the declared but unused dcat and prov namespaces, the type_map entries that don't match any actual records, and the range violations in DataCatalog.dataset pointing to non-Dataset types. Now looking at the detailed metrics: publisher as blank nodes without @id appearing 2180 times, the okf-LandRegistry namespace declared in architecture but never used, relationships reduced to a single predicate across all 2202 records, record_type split across 77 values with inconsistent conventions, and free-text fields like licence, cadence, and jurisdiction with placeholder strings filling 1843-1858 records. The languages field is empty for 2199 of 2202 records—a hard failure for Welsh support—and </w:t>
      </w:r>
      <w:r w:rsidRPr="0097421E">
        <w:rPr>
          <w:rFonts w:ascii="Segoe UI" w:eastAsia="Times New Roman" w:hAnsi="Segoe UI" w:cs="Segoe UI"/>
          <w:i/>
          <w:iCs/>
          <w:color w:val="0B0B0B"/>
          <w:sz w:val="21"/>
          <w:szCs w:val="21"/>
          <w:lang w:eastAsia="en-GB"/>
        </w:rPr>
        <w:lastRenderedPageBreak/>
        <w:t>audience is empty for 1843 records. The evaluation metrics show 24 questions all scoring 1.0 or 0.86 MRR, but hard_failures_evaluated is false and the near_miss_rule is prose-only. Tests cover 93 cases across 15 files with byte-determinism and fail-closed behavior, CHECKSUMS verified 421 files with no mismatches, though test_explorer_contract.py is referenced three times but missing from the repo. CI uses SHA-pinned dependencies. The working tree has the bundle rebuilt with new explorer data but uncommitted changes, while release evidence still points to an older commit. I counted the test methods across all files and got 103 total, not 93. I should note I haven't actually run the test suite or build myself—this is all from reading the code.</w:t>
      </w:r>
    </w:p>
    <w:p w14:paraId="04CFBD33"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I read the repo end-to-end — bundle, scripts, governance, domain profile, schemas, tests, CI — plus the sibling </w:t>
      </w:r>
      <w:r w:rsidRPr="0097421E">
        <w:rPr>
          <w:rFonts w:ascii="Courier New" w:eastAsia="Times New Roman" w:hAnsi="Courier New" w:cs="Courier New"/>
          <w:color w:val="0B0B0B"/>
          <w:sz w:val="20"/>
          <w:szCs w:val="20"/>
          <w:lang w:eastAsia="en-GB"/>
        </w:rPr>
        <w:t>okf-explorer</w:t>
      </w:r>
      <w:r w:rsidRPr="0097421E">
        <w:rPr>
          <w:rFonts w:ascii="Segoe UI" w:eastAsia="Times New Roman" w:hAnsi="Segoe UI" w:cs="Segoe UI"/>
          <w:color w:val="0B0B0B"/>
          <w:sz w:val="21"/>
          <w:szCs w:val="21"/>
          <w:lang w:eastAsia="en-GB"/>
        </w:rPr>
        <w:t> conformance contract. I verified checksums and analysed the generated planes directly, but did not run the build or test suite (read-only).</w:t>
      </w:r>
    </w:p>
    <w:p w14:paraId="3099F551" w14:textId="77777777" w:rsidR="0097421E" w:rsidRPr="0097421E" w:rsidRDefault="0097421E" w:rsidP="0097421E">
      <w:pPr>
        <w:shd w:val="clear" w:color="auto" w:fill="FCFCFB"/>
        <w:outlineLvl w:val="1"/>
        <w:rPr>
          <w:rFonts w:ascii="Segoe UI" w:eastAsia="Times New Roman" w:hAnsi="Segoe UI" w:cs="Segoe UI"/>
          <w:color w:val="6D6B67"/>
          <w:szCs w:val="22"/>
          <w:lang w:eastAsia="en-GB"/>
        </w:rPr>
      </w:pPr>
      <w:r w:rsidRPr="0097421E">
        <w:rPr>
          <w:rFonts w:ascii="Segoe UI" w:eastAsia="Times New Roman" w:hAnsi="Segoe UI" w:cs="Segoe UI"/>
          <w:color w:val="6D6B67"/>
          <w:szCs w:val="22"/>
          <w:lang w:eastAsia="en-GB"/>
        </w:rPr>
        <w:t>First, a framing correction</w:t>
      </w:r>
    </w:p>
    <w:p w14:paraId="1D64E936"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There is no YAML-LD in this bundle. </w:t>
      </w:r>
      <w:r w:rsidRPr="0097421E">
        <w:rPr>
          <w:rFonts w:ascii="inherit" w:eastAsia="Times New Roman" w:hAnsi="inherit" w:cs="Courier New"/>
          <w:color w:val="184F95"/>
          <w:sz w:val="20"/>
          <w:szCs w:val="20"/>
          <w:lang w:eastAsia="en-GB"/>
        </w:rPr>
        <w:t>docs/standards.md:27</w:t>
      </w:r>
      <w:r w:rsidRPr="0097421E">
        <w:rPr>
          <w:rFonts w:ascii="Segoe UI" w:eastAsia="Times New Roman" w:hAnsi="Segoe UI" w:cs="Segoe UI"/>
          <w:color w:val="0B0B0B"/>
          <w:sz w:val="21"/>
          <w:szCs w:val="21"/>
          <w:lang w:eastAsia="en-GB"/>
        </w:rPr>
        <w:t> classifies </w:t>
      </w:r>
      <w:r w:rsidRPr="0097421E">
        <w:rPr>
          <w:rFonts w:ascii="Courier New" w:eastAsia="Times New Roman" w:hAnsi="Courier New" w:cs="Courier New"/>
          <w:color w:val="0B0B0B"/>
          <w:sz w:val="20"/>
          <w:szCs w:val="20"/>
          <w:lang w:eastAsia="en-GB"/>
        </w:rPr>
        <w:t>STD-YAMLLD-10</w:t>
      </w:r>
      <w:r w:rsidRPr="0097421E">
        <w:rPr>
          <w:rFonts w:ascii="Segoe UI" w:eastAsia="Times New Roman" w:hAnsi="Segoe UI" w:cs="Segoe UI"/>
          <w:color w:val="0B0B0B"/>
          <w:sz w:val="21"/>
          <w:szCs w:val="21"/>
          <w:lang w:eastAsia="en-GB"/>
        </w:rPr>
        <w:t> as </w:t>
      </w:r>
      <w:r w:rsidRPr="0097421E">
        <w:rPr>
          <w:rFonts w:ascii="Segoe UI" w:eastAsia="Times New Roman" w:hAnsi="Segoe UI" w:cs="Segoe UI"/>
          <w:i/>
          <w:iCs/>
          <w:color w:val="0B0B0B"/>
          <w:sz w:val="21"/>
          <w:szCs w:val="21"/>
          <w:lang w:eastAsia="en-GB"/>
        </w:rPr>
        <w:t>reference-only</w:t>
      </w:r>
      <w:r w:rsidRPr="0097421E">
        <w:rPr>
          <w:rFonts w:ascii="Segoe UI" w:eastAsia="Times New Roman" w:hAnsi="Segoe UI" w:cs="Segoe UI"/>
          <w:color w:val="0B0B0B"/>
          <w:sz w:val="21"/>
          <w:szCs w:val="21"/>
          <w:lang w:eastAsia="en-GB"/>
        </w:rPr>
        <w:t>, and </w:t>
      </w:r>
      <w:r w:rsidRPr="0097421E">
        <w:rPr>
          <w:rFonts w:ascii="Courier New" w:eastAsia="Times New Roman" w:hAnsi="Courier New" w:cs="Courier New"/>
          <w:color w:val="0B0B0B"/>
          <w:sz w:val="20"/>
          <w:szCs w:val="20"/>
          <w:lang w:eastAsia="en-GB"/>
        </w:rPr>
        <w:t>domain-profile.json:2347</w:t>
      </w:r>
      <w:r w:rsidRPr="0097421E">
        <w:rPr>
          <w:rFonts w:ascii="Segoe UI" w:eastAsia="Times New Roman" w:hAnsi="Segoe UI" w:cs="Segoe UI"/>
          <w:color w:val="0B0B0B"/>
          <w:sz w:val="21"/>
          <w:szCs w:val="21"/>
          <w:lang w:eastAsia="en-GB"/>
        </w:rPr>
        <w:t> records "No YAML-LD conformance artefact in the first scaffold." The only semantic artifact is </w:t>
      </w:r>
      <w:r w:rsidRPr="0097421E">
        <w:rPr>
          <w:rFonts w:ascii="inherit" w:eastAsia="Times New Roman" w:hAnsi="inherit" w:cs="Courier New"/>
          <w:color w:val="184F95"/>
          <w:sz w:val="20"/>
          <w:szCs w:val="20"/>
          <w:lang w:eastAsia="en-GB"/>
        </w:rPr>
        <w:t>bundle/okf-bundle.jsonld</w:t>
      </w:r>
      <w:r w:rsidRPr="0097421E">
        <w:rPr>
          <w:rFonts w:ascii="Segoe UI" w:eastAsia="Times New Roman" w:hAnsi="Segoe UI" w:cs="Segoe UI"/>
          <w:color w:val="0B0B0B"/>
          <w:sz w:val="21"/>
          <w:szCs w:val="21"/>
          <w:lang w:eastAsia="en-GB"/>
        </w:rPr>
        <w:t>. That matters, because </w:t>
      </w:r>
      <w:r w:rsidRPr="0097421E">
        <w:rPr>
          <w:rFonts w:ascii="Courier New" w:eastAsia="Times New Roman" w:hAnsi="Courier New" w:cs="Courier New"/>
          <w:color w:val="0B0B0B"/>
          <w:sz w:val="20"/>
          <w:szCs w:val="20"/>
          <w:lang w:eastAsia="en-GB"/>
        </w:rPr>
        <w:t>okf-explorer</w:t>
      </w:r>
      <w:r w:rsidRPr="0097421E">
        <w:rPr>
          <w:rFonts w:ascii="Segoe UI" w:eastAsia="Times New Roman" w:hAnsi="Segoe UI" w:cs="Segoe UI"/>
          <w:color w:val="0B0B0B"/>
          <w:sz w:val="21"/>
          <w:szCs w:val="21"/>
          <w:lang w:eastAsia="en-GB"/>
        </w:rPr>
        <w:t>'s own federation contract makes YAML-LD the canonical </w:t>
      </w:r>
      <w:r w:rsidRPr="0097421E">
        <w:rPr>
          <w:rFonts w:ascii="Courier New" w:eastAsia="Times New Roman" w:hAnsi="Courier New" w:cs="Courier New"/>
          <w:color w:val="0B0B0B"/>
          <w:sz w:val="20"/>
          <w:szCs w:val="20"/>
          <w:lang w:eastAsia="en-GB"/>
        </w:rPr>
        <w:t>semantic_descriptor</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okf-registry.jsonld</w:t>
      </w:r>
      <w:r w:rsidRPr="0097421E">
        <w:rPr>
          <w:rFonts w:ascii="Segoe UI" w:eastAsia="Times New Roman" w:hAnsi="Segoe UI" w:cs="Segoe UI"/>
          <w:color w:val="0B0B0B"/>
          <w:sz w:val="21"/>
          <w:szCs w:val="21"/>
          <w:lang w:eastAsia="en-GB"/>
        </w:rPr>
        <w:t> points siblings at </w:t>
      </w:r>
      <w:r w:rsidRPr="0097421E">
        <w:rPr>
          <w:rFonts w:ascii="Courier New" w:eastAsia="Times New Roman" w:hAnsi="Courier New" w:cs="Courier New"/>
          <w:color w:val="0B0B0B"/>
          <w:sz w:val="20"/>
          <w:szCs w:val="20"/>
          <w:lang w:eastAsia="en-GB"/>
        </w:rPr>
        <w:t>.yamlld</w:t>
      </w:r>
      <w:r w:rsidRPr="0097421E">
        <w:rPr>
          <w:rFonts w:ascii="Segoe UI" w:eastAsia="Times New Roman" w:hAnsi="Segoe UI" w:cs="Segoe UI"/>
          <w:color w:val="0B0B0B"/>
          <w:sz w:val="21"/>
          <w:szCs w:val="21"/>
          <w:lang w:eastAsia="en-GB"/>
        </w:rPr>
        <w:t>). So this bundle is currently a JSON-LD-only citizen in a YAML-LD-canonical registry.</w:t>
      </w:r>
    </w:p>
    <w:p w14:paraId="43538CB7" w14:textId="77777777" w:rsidR="0097421E" w:rsidRPr="0097421E" w:rsidRDefault="0097421E" w:rsidP="0097421E">
      <w:pPr>
        <w:shd w:val="clear" w:color="auto" w:fill="FCFCFB"/>
        <w:outlineLvl w:val="1"/>
        <w:rPr>
          <w:rFonts w:ascii="Segoe UI" w:eastAsia="Times New Roman" w:hAnsi="Segoe UI" w:cs="Segoe UI"/>
          <w:color w:val="6D6B67"/>
          <w:szCs w:val="22"/>
          <w:lang w:eastAsia="en-GB"/>
        </w:rPr>
      </w:pPr>
      <w:r w:rsidRPr="0097421E">
        <w:rPr>
          <w:rFonts w:ascii="Segoe UI" w:eastAsia="Times New Roman" w:hAnsi="Segoe UI" w:cs="Segoe UI"/>
          <w:color w:val="6D6B67"/>
          <w:szCs w:val="22"/>
          <w:lang w:eastAsia="en-GB"/>
        </w:rPr>
        <w:t>Verdict</w:t>
      </w:r>
    </w:p>
    <w:p w14:paraId="774A28FC"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The assurance engineering is excellent — better than almost any public-sector data project I've seen. The semantic and modelling layer is the weakest part, and it's weak in exactly the dimension the project claims as its value. You've built a rigorous machine for producing an artifact whose payload doesn't carry the governance you worked so hard to establish.</w:t>
      </w:r>
    </w:p>
    <w:p w14:paraId="731349F3" w14:textId="77777777" w:rsidR="0097421E" w:rsidRPr="0097421E" w:rsidRDefault="0097421E" w:rsidP="0097421E">
      <w:pPr>
        <w:shd w:val="clear" w:color="auto" w:fill="FCFCFB"/>
        <w:outlineLvl w:val="1"/>
        <w:rPr>
          <w:rFonts w:ascii="Segoe UI" w:eastAsia="Times New Roman" w:hAnsi="Segoe UI" w:cs="Segoe UI"/>
          <w:color w:val="6D6B67"/>
          <w:szCs w:val="22"/>
          <w:lang w:eastAsia="en-GB"/>
        </w:rPr>
      </w:pPr>
      <w:r w:rsidRPr="0097421E">
        <w:rPr>
          <w:rFonts w:ascii="Segoe UI" w:eastAsia="Times New Roman" w:hAnsi="Segoe UI" w:cs="Segoe UI"/>
          <w:color w:val="6D6B67"/>
          <w:szCs w:val="22"/>
          <w:lang w:eastAsia="en-GB"/>
        </w:rPr>
        <w:t>What I'd keep unchanged</w:t>
      </w:r>
    </w:p>
    <w:p w14:paraId="4608D99A" w14:textId="77777777" w:rsidR="0097421E" w:rsidRPr="0097421E" w:rsidRDefault="0097421E" w:rsidP="0097421E">
      <w:pPr>
        <w:numPr>
          <w:ilvl w:val="0"/>
          <w:numId w:val="1"/>
        </w:num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Integrity closure. I recomputed all 421 entries in </w:t>
      </w:r>
      <w:r w:rsidRPr="0097421E">
        <w:rPr>
          <w:rFonts w:ascii="inherit" w:eastAsia="Times New Roman" w:hAnsi="inherit" w:cs="Courier New"/>
          <w:color w:val="184F95"/>
          <w:sz w:val="20"/>
          <w:szCs w:val="20"/>
          <w:lang w:eastAsia="en-GB"/>
        </w:rPr>
        <w:t>bundle/CHECKSUMS.sha256</w:t>
      </w:r>
      <w:r w:rsidRPr="0097421E">
        <w:rPr>
          <w:rFonts w:ascii="Segoe UI" w:eastAsia="Times New Roman" w:hAnsi="Segoe UI" w:cs="Segoe UI"/>
          <w:color w:val="0B0B0B"/>
          <w:sz w:val="21"/>
          <w:szCs w:val="21"/>
          <w:lang w:eastAsia="en-GB"/>
        </w:rPr>
        <w:t>: zero mismatches, and zero files on disk that aren't listed. The manifest is genuinely closed, not decorative.</w:t>
      </w:r>
    </w:p>
    <w:p w14:paraId="5C90B931" w14:textId="77777777" w:rsidR="0097421E" w:rsidRPr="0097421E" w:rsidRDefault="0097421E" w:rsidP="0097421E">
      <w:pPr>
        <w:numPr>
          <w:ilvl w:val="0"/>
          <w:numId w:val="1"/>
        </w:num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Fail-closed release evidence. </w:t>
      </w:r>
      <w:r w:rsidRPr="0097421E">
        <w:rPr>
          <w:rFonts w:ascii="inherit" w:eastAsia="Times New Roman" w:hAnsi="inherit" w:cs="Courier New"/>
          <w:color w:val="184F95"/>
          <w:sz w:val="20"/>
          <w:szCs w:val="20"/>
          <w:lang w:eastAsia="en-GB"/>
        </w:rPr>
        <w:t>tests/test_assemble_release_evidence.py</w:t>
      </w:r>
      <w:r w:rsidRPr="0097421E">
        <w:rPr>
          <w:rFonts w:ascii="Segoe UI" w:eastAsia="Times New Roman" w:hAnsi="Segoe UI" w:cs="Segoe UI"/>
          <w:color w:val="0B0B0B"/>
          <w:sz w:val="21"/>
          <w:szCs w:val="21"/>
          <w:lang w:eastAsia="en-GB"/>
        </w:rPr>
        <w:t> asserting </w:t>
      </w:r>
      <w:r w:rsidRPr="0097421E">
        <w:rPr>
          <w:rFonts w:ascii="Courier New" w:eastAsia="Times New Roman" w:hAnsi="Courier New" w:cs="Courier New"/>
          <w:color w:val="0B0B0B"/>
          <w:sz w:val="20"/>
          <w:szCs w:val="20"/>
          <w:lang w:eastAsia="en-GB"/>
        </w:rPr>
        <w:t>test_owner_cannot_be_independent_release_reviewer</w:t>
      </w:r>
      <w:r w:rsidRPr="0097421E">
        <w:rPr>
          <w:rFonts w:ascii="Segoe UI" w:eastAsia="Times New Roman" w:hAnsi="Segoe UI" w:cs="Segoe UI"/>
          <w:color w:val="0B0B0B"/>
          <w:sz w:val="21"/>
          <w:szCs w:val="21"/>
          <w:lang w:eastAsia="en-GB"/>
        </w:rPr>
        <w:t> and </w:t>
      </w:r>
      <w:r w:rsidRPr="0097421E">
        <w:rPr>
          <w:rFonts w:ascii="Courier New" w:eastAsia="Times New Roman" w:hAnsi="Courier New" w:cs="Courier New"/>
          <w:color w:val="0B0B0B"/>
          <w:sz w:val="20"/>
          <w:szCs w:val="20"/>
          <w:lang w:eastAsia="en-GB"/>
        </w:rPr>
        <w:t>test_human_audit_cannot_be_silently_marked_complete</w:t>
      </w:r>
      <w:r w:rsidRPr="0097421E">
        <w:rPr>
          <w:rFonts w:ascii="Segoe UI" w:eastAsia="Times New Roman" w:hAnsi="Segoe UI" w:cs="Segoe UI"/>
          <w:color w:val="0B0B0B"/>
          <w:sz w:val="21"/>
          <w:szCs w:val="21"/>
          <w:lang w:eastAsia="en-GB"/>
        </w:rPr>
        <w:t> is the right instinct — encoding governance as executable constraints rather than prose.</w:t>
      </w:r>
    </w:p>
    <w:p w14:paraId="371D7B3F" w14:textId="77777777" w:rsidR="0097421E" w:rsidRPr="0097421E" w:rsidRDefault="0097421E" w:rsidP="0097421E">
      <w:pPr>
        <w:numPr>
          <w:ilvl w:val="0"/>
          <w:numId w:val="1"/>
        </w:num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CI shape. SHA-pinned actions, </w:t>
      </w:r>
      <w:r w:rsidRPr="0097421E">
        <w:rPr>
          <w:rFonts w:ascii="Courier New" w:eastAsia="Times New Roman" w:hAnsi="Courier New" w:cs="Courier New"/>
          <w:color w:val="0B0B0B"/>
          <w:sz w:val="20"/>
          <w:szCs w:val="20"/>
          <w:lang w:eastAsia="en-GB"/>
        </w:rPr>
        <w:t>--require-hashes</w:t>
      </w:r>
      <w:r w:rsidRPr="0097421E">
        <w:rPr>
          <w:rFonts w:ascii="Segoe UI" w:eastAsia="Times New Roman" w:hAnsi="Segoe UI" w:cs="Segoe UI"/>
          <w:color w:val="0B0B0B"/>
          <w:sz w:val="21"/>
          <w:szCs w:val="21"/>
          <w:lang w:eastAsia="en-GB"/>
        </w:rPr>
        <w:t>, rebuild-then-</w:t>
      </w:r>
      <w:r w:rsidRPr="0097421E">
        <w:rPr>
          <w:rFonts w:ascii="Courier New" w:eastAsia="Times New Roman" w:hAnsi="Courier New" w:cs="Courier New"/>
          <w:color w:val="0B0B0B"/>
          <w:sz w:val="20"/>
          <w:szCs w:val="20"/>
          <w:lang w:eastAsia="en-GB"/>
        </w:rPr>
        <w:t>git diff --exit-code -- bundle</w:t>
      </w:r>
      <w:r w:rsidRPr="0097421E">
        <w:rPr>
          <w:rFonts w:ascii="Segoe UI" w:eastAsia="Times New Roman" w:hAnsi="Segoe UI" w:cs="Segoe UI"/>
          <w:color w:val="0B0B0B"/>
          <w:sz w:val="21"/>
          <w:szCs w:val="21"/>
          <w:lang w:eastAsia="en-GB"/>
        </w:rPr>
        <w:t>, plus the untracked-file check. Deployment gated on </w:t>
      </w:r>
      <w:r w:rsidRPr="0097421E">
        <w:rPr>
          <w:rFonts w:ascii="Courier New" w:eastAsia="Times New Roman" w:hAnsi="Courier New" w:cs="Courier New"/>
          <w:color w:val="0B0B0B"/>
          <w:sz w:val="20"/>
          <w:szCs w:val="20"/>
          <w:lang w:eastAsia="en-GB"/>
        </w:rPr>
        <w:t>OKF_RELEASE_ROOT_SHA256</w:t>
      </w:r>
      <w:r w:rsidRPr="0097421E">
        <w:rPr>
          <w:rFonts w:ascii="Segoe UI" w:eastAsia="Times New Roman" w:hAnsi="Segoe UI" w:cs="Segoe UI"/>
          <w:color w:val="0B0B0B"/>
          <w:sz w:val="21"/>
          <w:szCs w:val="21"/>
          <w:lang w:eastAsia="en-GB"/>
        </w:rPr>
        <w:t>. This fails closed correctly.</w:t>
      </w:r>
    </w:p>
    <w:p w14:paraId="010DEFB1" w14:textId="77777777" w:rsidR="0097421E" w:rsidRPr="0097421E" w:rsidRDefault="0097421E" w:rsidP="0097421E">
      <w:pPr>
        <w:numPr>
          <w:ilvl w:val="0"/>
          <w:numId w:val="1"/>
        </w:num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The layered rights model. </w:t>
      </w:r>
      <w:r w:rsidRPr="0097421E">
        <w:rPr>
          <w:rFonts w:ascii="inherit" w:eastAsia="Times New Roman" w:hAnsi="inherit" w:cs="Courier New"/>
          <w:color w:val="184F95"/>
          <w:sz w:val="20"/>
          <w:szCs w:val="20"/>
          <w:lang w:eastAsia="en-GB"/>
        </w:rPr>
        <w:t>bundle/data/rights.json</w:t>
      </w:r>
      <w:r w:rsidRPr="0097421E">
        <w:rPr>
          <w:rFonts w:ascii="Segoe UI" w:eastAsia="Times New Roman" w:hAnsi="Segoe UI" w:cs="Segoe UI"/>
          <w:color w:val="0B0B0B"/>
          <w:sz w:val="21"/>
          <w:szCs w:val="21"/>
          <w:lang w:eastAsia="en-GB"/>
        </w:rPr>
        <w:t> with 7 assessments carrying </w:t>
      </w:r>
      <w:r w:rsidRPr="0097421E">
        <w:rPr>
          <w:rFonts w:ascii="Courier New" w:eastAsia="Times New Roman" w:hAnsi="Courier New" w:cs="Courier New"/>
          <w:color w:val="0B0B0B"/>
          <w:sz w:val="20"/>
          <w:szCs w:val="20"/>
          <w:lang w:eastAsia="en-GB"/>
        </w:rPr>
        <w:t>allowed_fields</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prohibited_content</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attribution</w:t>
      </w:r>
      <w:r w:rsidRPr="0097421E">
        <w:rPr>
          <w:rFonts w:ascii="Segoe UI" w:eastAsia="Times New Roman" w:hAnsi="Segoe UI" w:cs="Segoe UI"/>
          <w:color w:val="0B0B0B"/>
          <w:sz w:val="21"/>
          <w:szCs w:val="21"/>
          <w:lang w:eastAsia="en-GB"/>
        </w:rPr>
        <w:t> and </w:t>
      </w:r>
      <w:r w:rsidRPr="0097421E">
        <w:rPr>
          <w:rFonts w:ascii="Courier New" w:eastAsia="Times New Roman" w:hAnsi="Courier New" w:cs="Courier New"/>
          <w:color w:val="0B0B0B"/>
          <w:sz w:val="20"/>
          <w:szCs w:val="20"/>
          <w:lang w:eastAsia="en-GB"/>
        </w:rPr>
        <w:t>review_trigger</w:t>
      </w:r>
      <w:r w:rsidRPr="0097421E">
        <w:rPr>
          <w:rFonts w:ascii="Segoe UI" w:eastAsia="Times New Roman" w:hAnsi="Segoe UI" w:cs="Segoe UI"/>
          <w:color w:val="0B0B0B"/>
          <w:sz w:val="21"/>
          <w:szCs w:val="21"/>
          <w:lang w:eastAsia="en-GB"/>
        </w:rPr>
        <w:t> is the single best idea in the repo.</w:t>
      </w:r>
    </w:p>
    <w:p w14:paraId="0EB0F793" w14:textId="77777777" w:rsidR="0097421E" w:rsidRPr="0097421E" w:rsidRDefault="0097421E" w:rsidP="0097421E">
      <w:pPr>
        <w:numPr>
          <w:ilvl w:val="0"/>
          <w:numId w:val="1"/>
        </w:num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The </w:t>
      </w:r>
      <w:r w:rsidRPr="0097421E">
        <w:rPr>
          <w:rFonts w:ascii="Courier New" w:eastAsia="Times New Roman" w:hAnsi="Courier New" w:cs="Courier New"/>
          <w:color w:val="0B0B0B"/>
          <w:sz w:val="20"/>
          <w:szCs w:val="20"/>
          <w:lang w:eastAsia="en-GB"/>
        </w:rPr>
        <w:t>access_model</w:t>
      </w:r>
      <w:r w:rsidRPr="0097421E">
        <w:rPr>
          <w:rFonts w:ascii="Segoe UI" w:eastAsia="Times New Roman" w:hAnsi="Segoe UI" w:cs="Segoe UI"/>
          <w:color w:val="0B0B0B"/>
          <w:sz w:val="21"/>
          <w:szCs w:val="21"/>
          <w:lang w:eastAsia="en-GB"/>
        </w:rPr>
        <w:t> / </w:t>
      </w:r>
      <w:r w:rsidRPr="0097421E">
        <w:rPr>
          <w:rFonts w:ascii="Courier New" w:eastAsia="Times New Roman" w:hAnsi="Courier New" w:cs="Courier New"/>
          <w:color w:val="0B0B0B"/>
          <w:sz w:val="20"/>
          <w:szCs w:val="20"/>
          <w:lang w:eastAsia="en-GB"/>
        </w:rPr>
        <w:t>access_state</w:t>
      </w:r>
      <w:r w:rsidRPr="0097421E">
        <w:rPr>
          <w:rFonts w:ascii="Segoe UI" w:eastAsia="Times New Roman" w:hAnsi="Segoe UI" w:cs="Segoe UI"/>
          <w:color w:val="0B0B0B"/>
          <w:sz w:val="21"/>
          <w:szCs w:val="21"/>
          <w:lang w:eastAsia="en-GB"/>
        </w:rPr>
        <w:t> split. Free-text description alongside a controlled state is right.</w:t>
      </w:r>
    </w:p>
    <w:p w14:paraId="36168491" w14:textId="77777777" w:rsidR="0097421E" w:rsidRPr="0097421E" w:rsidRDefault="0097421E" w:rsidP="0097421E">
      <w:pPr>
        <w:numPr>
          <w:ilvl w:val="0"/>
          <w:numId w:val="1"/>
        </w:num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Honesty in the evaluation report. </w:t>
      </w:r>
      <w:r w:rsidRPr="0097421E">
        <w:rPr>
          <w:rFonts w:ascii="Courier New" w:eastAsia="Times New Roman" w:hAnsi="Courier New" w:cs="Courier New"/>
          <w:color w:val="0B0B0B"/>
          <w:sz w:val="20"/>
          <w:szCs w:val="20"/>
          <w:lang w:eastAsia="en-GB"/>
        </w:rPr>
        <w:t>"status": "retrieval-diagnostic-not-independent-g5-acceptance"</w:t>
      </w:r>
      <w:r w:rsidRPr="0097421E">
        <w:rPr>
          <w:rFonts w:ascii="Segoe UI" w:eastAsia="Times New Roman" w:hAnsi="Segoe UI" w:cs="Segoe UI"/>
          <w:color w:val="0B0B0B"/>
          <w:sz w:val="21"/>
          <w:szCs w:val="21"/>
          <w:lang w:eastAsia="en-GB"/>
        </w:rPr>
        <w:t> — refusing to let a self-scored diagnostic masquerade as acceptance is rare discipline.</w:t>
      </w:r>
    </w:p>
    <w:p w14:paraId="18E87C91" w14:textId="77777777" w:rsidR="0097421E" w:rsidRPr="0097421E" w:rsidRDefault="0097421E" w:rsidP="0097421E">
      <w:pPr>
        <w:numPr>
          <w:ilvl w:val="0"/>
          <w:numId w:val="1"/>
        </w:num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The consumer lock. </w:t>
      </w:r>
      <w:r w:rsidRPr="0097421E">
        <w:rPr>
          <w:rFonts w:ascii="inherit" w:eastAsia="Times New Roman" w:hAnsi="inherit" w:cs="Courier New"/>
          <w:color w:val="184F95"/>
          <w:sz w:val="20"/>
          <w:szCs w:val="20"/>
          <w:lang w:eastAsia="en-GB"/>
        </w:rPr>
        <w:t>contracts/okf-explorer.consumer-lock.json</w:t>
      </w:r>
      <w:r w:rsidRPr="0097421E">
        <w:rPr>
          <w:rFonts w:ascii="Segoe UI" w:eastAsia="Times New Roman" w:hAnsi="Segoe UI" w:cs="Segoe UI"/>
          <w:color w:val="0B0B0B"/>
          <w:sz w:val="21"/>
          <w:szCs w:val="21"/>
          <w:lang w:eastAsia="en-GB"/>
        </w:rPr>
        <w:t> pinning the </w:t>
      </w:r>
      <w:r w:rsidRPr="0097421E">
        <w:rPr>
          <w:rFonts w:ascii="Segoe UI" w:eastAsia="Times New Roman" w:hAnsi="Segoe UI" w:cs="Segoe UI"/>
          <w:i/>
          <w:iCs/>
          <w:color w:val="0B0B0B"/>
          <w:sz w:val="21"/>
          <w:szCs w:val="21"/>
          <w:lang w:eastAsia="en-GB"/>
        </w:rPr>
        <w:t>consumer's</w:t>
      </w:r>
      <w:r w:rsidRPr="0097421E">
        <w:rPr>
          <w:rFonts w:ascii="Segoe UI" w:eastAsia="Times New Roman" w:hAnsi="Segoe UI" w:cs="Segoe UI"/>
          <w:color w:val="0B0B0B"/>
          <w:sz w:val="21"/>
          <w:szCs w:val="21"/>
          <w:lang w:eastAsia="en-GB"/>
        </w:rPr>
        <w:t> source-file digests is a genuinely novel idea. See below for why it isn't working yet.</w:t>
      </w:r>
    </w:p>
    <w:p w14:paraId="29FF864B" w14:textId="77777777" w:rsidR="0097421E" w:rsidRPr="0097421E" w:rsidRDefault="00E778EB" w:rsidP="0097421E">
      <w:pPr>
        <w:shd w:val="clear" w:color="auto" w:fill="FCFCFB"/>
        <w:rPr>
          <w:rFonts w:ascii="Segoe UI" w:eastAsia="Times New Roman" w:hAnsi="Segoe UI" w:cs="Segoe UI"/>
          <w:color w:val="0B0B0B"/>
          <w:sz w:val="21"/>
          <w:szCs w:val="21"/>
          <w:lang w:eastAsia="en-GB"/>
        </w:rPr>
      </w:pPr>
      <w:r w:rsidRPr="00E778EB">
        <w:rPr>
          <w:rFonts w:ascii="Segoe UI" w:eastAsia="Times New Roman" w:hAnsi="Segoe UI" w:cs="Segoe UI"/>
          <w:noProof/>
          <w:color w:val="0B0B0B"/>
          <w:sz w:val="21"/>
          <w:szCs w:val="21"/>
          <w:lang w:eastAsia="en-GB"/>
          <w14:ligatures w14:val="standardContextual"/>
        </w:rPr>
        <w:pict w14:anchorId="747A7C8E">
          <v:rect id="_x0000_i1029" style="width:0;height:0" o:hralign="center" o:hrstd="t" o:hr="t" fillcolor="#a0a0a0" stroked="f"/>
        </w:pict>
      </w:r>
    </w:p>
    <w:p w14:paraId="4ACFA6E4" w14:textId="77777777" w:rsidR="0097421E" w:rsidRPr="0097421E" w:rsidRDefault="0097421E" w:rsidP="0097421E">
      <w:pPr>
        <w:shd w:val="clear" w:color="auto" w:fill="FCFCFB"/>
        <w:outlineLvl w:val="1"/>
        <w:rPr>
          <w:rFonts w:ascii="Segoe UI" w:eastAsia="Times New Roman" w:hAnsi="Segoe UI" w:cs="Segoe UI"/>
          <w:color w:val="6D6B67"/>
          <w:szCs w:val="22"/>
          <w:lang w:eastAsia="en-GB"/>
        </w:rPr>
      </w:pPr>
      <w:r w:rsidRPr="0097421E">
        <w:rPr>
          <w:rFonts w:ascii="Segoe UI" w:eastAsia="Times New Roman" w:hAnsi="Segoe UI" w:cs="Segoe UI"/>
          <w:color w:val="6D6B67"/>
          <w:szCs w:val="22"/>
          <w:lang w:eastAsia="en-GB"/>
        </w:rPr>
        <w:t>Incorrect</w:t>
      </w:r>
    </w:p>
    <w:p w14:paraId="1B4242C9"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These are verifiable defects, not matters of taste.</w:t>
      </w:r>
    </w:p>
    <w:p w14:paraId="5808D735"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1. The JSON-LD declares vocabularies it never uses.</w:t>
      </w:r>
    </w:p>
    <w:p w14:paraId="66350350"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inherit" w:eastAsia="Times New Roman" w:hAnsi="inherit" w:cs="Courier New"/>
          <w:color w:val="184F95"/>
          <w:sz w:val="20"/>
          <w:szCs w:val="20"/>
          <w:lang w:eastAsia="en-GB"/>
        </w:rPr>
        <w:t>scripts/build.py:1119</w:t>
      </w:r>
      <w:r w:rsidRPr="0097421E">
        <w:rPr>
          <w:rFonts w:ascii="Segoe UI" w:eastAsia="Times New Roman" w:hAnsi="Segoe UI" w:cs="Segoe UI"/>
          <w:color w:val="0B0B0B"/>
          <w:sz w:val="21"/>
          <w:szCs w:val="21"/>
          <w:lang w:eastAsia="en-GB"/>
        </w:rPr>
        <w:t> emits </w:t>
      </w:r>
      <w:r w:rsidRPr="0097421E">
        <w:rPr>
          <w:rFonts w:ascii="Courier New" w:eastAsia="Times New Roman" w:hAnsi="Courier New" w:cs="Courier New"/>
          <w:color w:val="0B0B0B"/>
          <w:sz w:val="20"/>
          <w:szCs w:val="20"/>
          <w:lang w:eastAsia="en-GB"/>
        </w:rPr>
        <w:t>dcat:</w:t>
      </w:r>
      <w:r w:rsidRPr="0097421E">
        <w:rPr>
          <w:rFonts w:ascii="Segoe UI" w:eastAsia="Times New Roman" w:hAnsi="Segoe UI" w:cs="Segoe UI"/>
          <w:color w:val="0B0B0B"/>
          <w:sz w:val="21"/>
          <w:szCs w:val="21"/>
          <w:lang w:eastAsia="en-GB"/>
        </w:rPr>
        <w:t> and </w:t>
      </w:r>
      <w:r w:rsidRPr="0097421E">
        <w:rPr>
          <w:rFonts w:ascii="Courier New" w:eastAsia="Times New Roman" w:hAnsi="Courier New" w:cs="Courier New"/>
          <w:color w:val="0B0B0B"/>
          <w:sz w:val="20"/>
          <w:szCs w:val="20"/>
          <w:lang w:eastAsia="en-GB"/>
        </w:rPr>
        <w:t>prov:</w:t>
      </w:r>
      <w:r w:rsidRPr="0097421E">
        <w:rPr>
          <w:rFonts w:ascii="Segoe UI" w:eastAsia="Times New Roman" w:hAnsi="Segoe UI" w:cs="Segoe UI"/>
          <w:color w:val="0B0B0B"/>
          <w:sz w:val="21"/>
          <w:szCs w:val="21"/>
          <w:lang w:eastAsia="en-GB"/>
        </w:rPr>
        <w:t> prefixes into </w:t>
      </w:r>
      <w:r w:rsidRPr="0097421E">
        <w:rPr>
          <w:rFonts w:ascii="Courier New" w:eastAsia="Times New Roman" w:hAnsi="Courier New" w:cs="Courier New"/>
          <w:color w:val="0B0B0B"/>
          <w:sz w:val="20"/>
          <w:szCs w:val="20"/>
          <w:lang w:eastAsia="en-GB"/>
        </w:rPr>
        <w:t>@context</w:t>
      </w:r>
      <w:r w:rsidRPr="0097421E">
        <w:rPr>
          <w:rFonts w:ascii="Segoe UI" w:eastAsia="Times New Roman" w:hAnsi="Segoe UI" w:cs="Segoe UI"/>
          <w:color w:val="0B0B0B"/>
          <w:sz w:val="21"/>
          <w:szCs w:val="21"/>
          <w:lang w:eastAsia="en-GB"/>
        </w:rPr>
        <w:t>. Across all 1.7 MB of </w:t>
      </w:r>
      <w:r w:rsidRPr="0097421E">
        <w:rPr>
          <w:rFonts w:ascii="Courier New" w:eastAsia="Times New Roman" w:hAnsi="Courier New" w:cs="Courier New"/>
          <w:color w:val="0B0B0B"/>
          <w:sz w:val="20"/>
          <w:szCs w:val="20"/>
          <w:lang w:eastAsia="en-GB"/>
        </w:rPr>
        <w:t>okf-bundle.jsonld</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dcat:</w:t>
      </w:r>
      <w:r w:rsidRPr="0097421E">
        <w:rPr>
          <w:rFonts w:ascii="Segoe UI" w:eastAsia="Times New Roman" w:hAnsi="Segoe UI" w:cs="Segoe UI"/>
          <w:color w:val="0B0B0B"/>
          <w:sz w:val="21"/>
          <w:szCs w:val="21"/>
          <w:lang w:eastAsia="en-GB"/>
        </w:rPr>
        <w:t> appears 0 times and </w:t>
      </w:r>
      <w:r w:rsidRPr="0097421E">
        <w:rPr>
          <w:rFonts w:ascii="Courier New" w:eastAsia="Times New Roman" w:hAnsi="Courier New" w:cs="Courier New"/>
          <w:color w:val="0B0B0B"/>
          <w:sz w:val="20"/>
          <w:szCs w:val="20"/>
          <w:lang w:eastAsia="en-GB"/>
        </w:rPr>
        <w:t>prov:</w:t>
      </w:r>
      <w:r w:rsidRPr="0097421E">
        <w:rPr>
          <w:rFonts w:ascii="Segoe UI" w:eastAsia="Times New Roman" w:hAnsi="Segoe UI" w:cs="Segoe UI"/>
          <w:color w:val="0B0B0B"/>
          <w:sz w:val="21"/>
          <w:szCs w:val="21"/>
          <w:lang w:eastAsia="en-GB"/>
        </w:rPr>
        <w:t> 0 times. Meanwhile </w:t>
      </w:r>
      <w:r w:rsidRPr="0097421E">
        <w:rPr>
          <w:rFonts w:ascii="inherit" w:eastAsia="Times New Roman" w:hAnsi="inherit" w:cs="Courier New"/>
          <w:color w:val="184F95"/>
          <w:sz w:val="20"/>
          <w:szCs w:val="20"/>
          <w:lang w:eastAsia="en-GB"/>
        </w:rPr>
        <w:t>docs/standards.md:22</w:t>
      </w:r>
      <w:r w:rsidRPr="0097421E">
        <w:rPr>
          <w:rFonts w:ascii="Segoe UI" w:eastAsia="Times New Roman" w:hAnsi="Segoe UI" w:cs="Segoe UI"/>
          <w:color w:val="0B0B0B"/>
          <w:sz w:val="21"/>
          <w:szCs w:val="21"/>
          <w:lang w:eastAsia="en-GB"/>
        </w:rPr>
        <w:t> registers </w:t>
      </w:r>
      <w:r w:rsidRPr="0097421E">
        <w:rPr>
          <w:rFonts w:ascii="Courier New" w:eastAsia="Times New Roman" w:hAnsi="Courier New" w:cs="Courier New"/>
          <w:color w:val="0B0B0B"/>
          <w:sz w:val="20"/>
          <w:szCs w:val="20"/>
          <w:lang w:eastAsia="en-GB"/>
        </w:rPr>
        <w:t>STD-DCAT-3</w:t>
      </w:r>
      <w:r w:rsidRPr="0097421E">
        <w:rPr>
          <w:rFonts w:ascii="Segoe UI" w:eastAsia="Times New Roman" w:hAnsi="Segoe UI" w:cs="Segoe UI"/>
          <w:color w:val="0B0B0B"/>
          <w:sz w:val="21"/>
          <w:szCs w:val="21"/>
          <w:lang w:eastAsia="en-GB"/>
        </w:rPr>
        <w:t> as </w:t>
      </w:r>
      <w:r w:rsidRPr="0097421E">
        <w:rPr>
          <w:rFonts w:ascii="Segoe UI" w:eastAsia="Times New Roman" w:hAnsi="Segoe UI" w:cs="Segoe UI"/>
          <w:i/>
          <w:iCs/>
          <w:color w:val="0B0B0B"/>
          <w:sz w:val="21"/>
          <w:szCs w:val="21"/>
          <w:lang w:eastAsia="en-GB"/>
        </w:rPr>
        <w:t>"projection — additive dataset, distribution and data-service discovery mapping"</w:t>
      </w:r>
      <w:r w:rsidRPr="0097421E">
        <w:rPr>
          <w:rFonts w:ascii="Segoe UI" w:eastAsia="Times New Roman" w:hAnsi="Segoe UI" w:cs="Segoe UI"/>
          <w:color w:val="0B0B0B"/>
          <w:sz w:val="21"/>
          <w:szCs w:val="21"/>
          <w:lang w:eastAsia="en-GB"/>
        </w:rPr>
        <w:t> and </w:t>
      </w:r>
      <w:r w:rsidRPr="0097421E">
        <w:rPr>
          <w:rFonts w:ascii="Courier New" w:eastAsia="Times New Roman" w:hAnsi="Courier New" w:cs="Courier New"/>
          <w:color w:val="0B0B0B"/>
          <w:sz w:val="20"/>
          <w:szCs w:val="20"/>
          <w:lang w:eastAsia="en-GB"/>
        </w:rPr>
        <w:t>:23</w:t>
      </w:r>
      <w:r w:rsidRPr="0097421E">
        <w:rPr>
          <w:rFonts w:ascii="Segoe UI" w:eastAsia="Times New Roman" w:hAnsi="Segoe UI" w:cs="Segoe UI"/>
          <w:color w:val="0B0B0B"/>
          <w:sz w:val="21"/>
          <w:szCs w:val="21"/>
          <w:lang w:eastAsia="en-GB"/>
        </w:rPr>
        <w:t> registers </w:t>
      </w:r>
      <w:r w:rsidRPr="0097421E">
        <w:rPr>
          <w:rFonts w:ascii="Courier New" w:eastAsia="Times New Roman" w:hAnsi="Courier New" w:cs="Courier New"/>
          <w:color w:val="0B0B0B"/>
          <w:sz w:val="20"/>
          <w:szCs w:val="20"/>
          <w:lang w:eastAsia="en-GB"/>
        </w:rPr>
        <w:t>STD-PROVO</w:t>
      </w:r>
      <w:r w:rsidRPr="0097421E">
        <w:rPr>
          <w:rFonts w:ascii="Segoe UI" w:eastAsia="Times New Roman" w:hAnsi="Segoe UI" w:cs="Segoe UI"/>
          <w:color w:val="0B0B0B"/>
          <w:sz w:val="21"/>
          <w:szCs w:val="21"/>
          <w:lang w:eastAsia="en-GB"/>
        </w:rPr>
        <w:t> as </w:t>
      </w:r>
      <w:r w:rsidRPr="0097421E">
        <w:rPr>
          <w:rFonts w:ascii="Segoe UI" w:eastAsia="Times New Roman" w:hAnsi="Segoe UI" w:cs="Segoe UI"/>
          <w:i/>
          <w:iCs/>
          <w:color w:val="0B0B0B"/>
          <w:sz w:val="21"/>
          <w:szCs w:val="21"/>
          <w:lang w:eastAsia="en-GB"/>
        </w:rPr>
        <w:t>"projection — provenance mapping for observations, generation and receipts."</w:t>
      </w:r>
      <w:r w:rsidRPr="0097421E">
        <w:rPr>
          <w:rFonts w:ascii="Segoe UI" w:eastAsia="Times New Roman" w:hAnsi="Segoe UI" w:cs="Segoe UI"/>
          <w:color w:val="0B0B0B"/>
          <w:sz w:val="21"/>
          <w:szCs w:val="21"/>
          <w:lang w:eastAsia="en-GB"/>
        </w:rPr>
        <w:t> Neither projection exists. </w:t>
      </w:r>
      <w:r w:rsidRPr="0097421E">
        <w:rPr>
          <w:rFonts w:ascii="inherit" w:eastAsia="Times New Roman" w:hAnsi="inherit" w:cs="Courier New"/>
          <w:color w:val="184F95"/>
          <w:sz w:val="20"/>
          <w:szCs w:val="20"/>
          <w:lang w:eastAsia="en-GB"/>
        </w:rPr>
        <w:t>docs/standards.md:42</w:t>
      </w:r>
      <w:r w:rsidRPr="0097421E">
        <w:rPr>
          <w:rFonts w:ascii="Segoe UI" w:eastAsia="Times New Roman" w:hAnsi="Segoe UI" w:cs="Segoe UI"/>
          <w:color w:val="0B0B0B"/>
          <w:sz w:val="21"/>
          <w:szCs w:val="21"/>
          <w:lang w:eastAsia="en-GB"/>
        </w:rPr>
        <w:t> is careful to say sparse records aren't DCAT-conformant "merely because they use a DCAT term" — but the bundle doesn't use one.</w:t>
      </w:r>
    </w:p>
    <w:p w14:paraId="1ACD05F5"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2. </w:t>
      </w:r>
      <w:r w:rsidRPr="0097421E">
        <w:rPr>
          <w:rFonts w:ascii="Courier New" w:eastAsia="Times New Roman" w:hAnsi="Courier New" w:cs="Courier New"/>
          <w:color w:val="0B0B0B"/>
          <w:sz w:val="20"/>
          <w:szCs w:val="20"/>
          <w:lang w:eastAsia="en-GB"/>
        </w:rPr>
        <w:t>DataCatalog.dataset</w:t>
      </w:r>
      <w:r w:rsidRPr="0097421E">
        <w:rPr>
          <w:rFonts w:ascii="Segoe UI" w:eastAsia="Times New Roman" w:hAnsi="Segoe UI" w:cs="Segoe UI"/>
          <w:color w:val="0B0B0B"/>
          <w:sz w:val="21"/>
          <w:szCs w:val="21"/>
          <w:lang w:eastAsia="en-GB"/>
        </w:rPr>
        <w:t> points at 2,196 non-Datasets.</w:t>
      </w:r>
    </w:p>
    <w:p w14:paraId="466A3F13"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inherit" w:eastAsia="Times New Roman" w:hAnsi="inherit" w:cs="Courier New"/>
          <w:color w:val="184F95"/>
          <w:sz w:val="20"/>
          <w:szCs w:val="20"/>
          <w:lang w:eastAsia="en-GB"/>
        </w:rPr>
        <w:lastRenderedPageBreak/>
        <w:t>scripts/build.py:1130</w:t>
      </w:r>
      <w:r w:rsidRPr="0097421E">
        <w:rPr>
          <w:rFonts w:ascii="Segoe UI" w:eastAsia="Times New Roman" w:hAnsi="Segoe UI" w:cs="Segoe UI"/>
          <w:color w:val="0B0B0B"/>
          <w:sz w:val="21"/>
          <w:szCs w:val="21"/>
          <w:lang w:eastAsia="en-GB"/>
        </w:rPr>
        <w:t> emits </w:t>
      </w:r>
      <w:r w:rsidRPr="0097421E">
        <w:rPr>
          <w:rFonts w:ascii="Courier New" w:eastAsia="Times New Roman" w:hAnsi="Courier New" w:cs="Courier New"/>
          <w:color w:val="0B0B0B"/>
          <w:sz w:val="20"/>
          <w:szCs w:val="20"/>
          <w:lang w:eastAsia="en-GB"/>
        </w:rPr>
        <w:t>"dataset": [...]</w:t>
      </w:r>
      <w:r w:rsidRPr="0097421E">
        <w:rPr>
          <w:rFonts w:ascii="Segoe UI" w:eastAsia="Times New Roman" w:hAnsi="Segoe UI" w:cs="Segoe UI"/>
          <w:color w:val="0B0B0B"/>
          <w:sz w:val="21"/>
          <w:szCs w:val="21"/>
          <w:lang w:eastAsia="en-GB"/>
        </w:rPr>
        <w:t> over all 2,202 records, but the type census is </w:t>
      </w:r>
      <w:r w:rsidRPr="0097421E">
        <w:rPr>
          <w:rFonts w:ascii="Courier New" w:eastAsia="Times New Roman" w:hAnsi="Courier New" w:cs="Courier New"/>
          <w:color w:val="0B0B0B"/>
          <w:sz w:val="20"/>
          <w:szCs w:val="20"/>
          <w:lang w:eastAsia="en-GB"/>
        </w:rPr>
        <w:t>CreativeWork</w:t>
      </w:r>
      <w:r w:rsidRPr="0097421E">
        <w:rPr>
          <w:rFonts w:ascii="Segoe UI" w:eastAsia="Times New Roman" w:hAnsi="Segoe UI" w:cs="Segoe UI"/>
          <w:color w:val="0B0B0B"/>
          <w:sz w:val="21"/>
          <w:szCs w:val="21"/>
          <w:lang w:eastAsia="en-GB"/>
        </w:rPr>
        <w:t> 1,907 / </w:t>
      </w:r>
      <w:r w:rsidRPr="0097421E">
        <w:rPr>
          <w:rFonts w:ascii="Courier New" w:eastAsia="Times New Roman" w:hAnsi="Courier New" w:cs="Courier New"/>
          <w:color w:val="0B0B0B"/>
          <w:sz w:val="20"/>
          <w:szCs w:val="20"/>
          <w:lang w:eastAsia="en-GB"/>
        </w:rPr>
        <w:t>SoftwareSourceCode</w:t>
      </w:r>
      <w:r w:rsidRPr="0097421E">
        <w:rPr>
          <w:rFonts w:ascii="Segoe UI" w:eastAsia="Times New Roman" w:hAnsi="Segoe UI" w:cs="Segoe UI"/>
          <w:color w:val="0B0B0B"/>
          <w:sz w:val="21"/>
          <w:szCs w:val="21"/>
          <w:lang w:eastAsia="en-GB"/>
        </w:rPr>
        <w:t> 289 / </w:t>
      </w:r>
      <w:r w:rsidRPr="0097421E">
        <w:rPr>
          <w:rFonts w:ascii="Courier New" w:eastAsia="Times New Roman" w:hAnsi="Courier New" w:cs="Courier New"/>
          <w:color w:val="0B0B0B"/>
          <w:sz w:val="20"/>
          <w:szCs w:val="20"/>
          <w:lang w:eastAsia="en-GB"/>
        </w:rPr>
        <w:t>Dataset</w:t>
      </w:r>
      <w:r w:rsidRPr="0097421E">
        <w:rPr>
          <w:rFonts w:ascii="Segoe UI" w:eastAsia="Times New Roman" w:hAnsi="Segoe UI" w:cs="Segoe UI"/>
          <w:color w:val="0B0B0B"/>
          <w:sz w:val="21"/>
          <w:szCs w:val="21"/>
          <w:lang w:eastAsia="en-GB"/>
        </w:rPr>
        <w:t> 6. So 2,196 of those links violate schema.org's declared range. </w:t>
      </w:r>
      <w:r w:rsidRPr="0097421E">
        <w:rPr>
          <w:rFonts w:ascii="Courier New" w:eastAsia="Times New Roman" w:hAnsi="Courier New" w:cs="Courier New"/>
          <w:color w:val="0B0B0B"/>
          <w:sz w:val="20"/>
          <w:szCs w:val="20"/>
          <w:lang w:eastAsia="en-GB"/>
        </w:rPr>
        <w:t>isPartOf</w:t>
      </w:r>
      <w:r w:rsidRPr="0097421E">
        <w:rPr>
          <w:rFonts w:ascii="Segoe UI" w:eastAsia="Times New Roman" w:hAnsi="Segoe UI" w:cs="Segoe UI"/>
          <w:color w:val="0B0B0B"/>
          <w:sz w:val="21"/>
          <w:szCs w:val="21"/>
          <w:lang w:eastAsia="en-GB"/>
        </w:rPr>
        <w:t> is also the wrong inverse — schema.org's is </w:t>
      </w:r>
      <w:r w:rsidRPr="0097421E">
        <w:rPr>
          <w:rFonts w:ascii="Courier New" w:eastAsia="Times New Roman" w:hAnsi="Courier New" w:cs="Courier New"/>
          <w:color w:val="0B0B0B"/>
          <w:sz w:val="20"/>
          <w:szCs w:val="20"/>
          <w:lang w:eastAsia="en-GB"/>
        </w:rPr>
        <w:t>includedInDataCatalog</w:t>
      </w:r>
      <w:r w:rsidRPr="0097421E">
        <w:rPr>
          <w:rFonts w:ascii="Segoe UI" w:eastAsia="Times New Roman" w:hAnsi="Segoe UI" w:cs="Segoe UI"/>
          <w:color w:val="0B0B0B"/>
          <w:sz w:val="21"/>
          <w:szCs w:val="21"/>
          <w:lang w:eastAsia="en-GB"/>
        </w:rPr>
        <w:t>.</w:t>
      </w:r>
    </w:p>
    <w:p w14:paraId="7502A925"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3. Dead branch in the type map.</w:t>
      </w:r>
    </w:p>
    <w:p w14:paraId="021FEA34"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inherit" w:eastAsia="Times New Roman" w:hAnsi="inherit" w:cs="Courier New"/>
          <w:color w:val="184F95"/>
          <w:sz w:val="20"/>
          <w:szCs w:val="20"/>
          <w:lang w:eastAsia="en-GB"/>
        </w:rPr>
        <w:t>scripts/build.py:1100-1104</w:t>
      </w:r>
      <w:r w:rsidRPr="0097421E">
        <w:rPr>
          <w:rFonts w:ascii="Segoe UI" w:eastAsia="Times New Roman" w:hAnsi="Segoe UI" w:cs="Segoe UI"/>
          <w:color w:val="0B0B0B"/>
          <w:sz w:val="21"/>
          <w:szCs w:val="21"/>
          <w:lang w:eastAsia="en-GB"/>
        </w:rPr>
        <w:t> maps </w:t>
      </w:r>
      <w:r w:rsidRPr="0097421E">
        <w:rPr>
          <w:rFonts w:ascii="Courier New" w:eastAsia="Times New Roman" w:hAnsi="Courier New" w:cs="Courier New"/>
          <w:color w:val="0B0B0B"/>
          <w:sz w:val="20"/>
          <w:szCs w:val="20"/>
          <w:lang w:eastAsia="en-GB"/>
        </w:rPr>
        <w:t>"api" → "WebAPI"</w:t>
      </w:r>
      <w:r w:rsidRPr="0097421E">
        <w:rPr>
          <w:rFonts w:ascii="Segoe UI" w:eastAsia="Times New Roman" w:hAnsi="Segoe UI" w:cs="Segoe UI"/>
          <w:color w:val="0B0B0B"/>
          <w:sz w:val="21"/>
          <w:szCs w:val="21"/>
          <w:lang w:eastAsia="en-GB"/>
        </w:rPr>
        <w:t>. No record has </w:t>
      </w:r>
      <w:r w:rsidRPr="0097421E">
        <w:rPr>
          <w:rFonts w:ascii="Courier New" w:eastAsia="Times New Roman" w:hAnsi="Courier New" w:cs="Courier New"/>
          <w:color w:val="0B0B0B"/>
          <w:sz w:val="20"/>
          <w:szCs w:val="20"/>
          <w:lang w:eastAsia="en-GB"/>
        </w:rPr>
        <w:t>record_type == "api"</w:t>
      </w:r>
      <w:r w:rsidRPr="0097421E">
        <w:rPr>
          <w:rFonts w:ascii="Segoe UI" w:eastAsia="Times New Roman" w:hAnsi="Segoe UI" w:cs="Segoe UI"/>
          <w:color w:val="0B0B0B"/>
          <w:sz w:val="21"/>
          <w:szCs w:val="21"/>
          <w:lang w:eastAsia="en-GB"/>
        </w:rPr>
        <w:t> (the actual values are </w:t>
      </w:r>
      <w:r w:rsidRPr="0097421E">
        <w:rPr>
          <w:rFonts w:ascii="Courier New" w:eastAsia="Times New Roman" w:hAnsi="Courier New" w:cs="Courier New"/>
          <w:color w:val="0B0B0B"/>
          <w:sz w:val="20"/>
          <w:szCs w:val="20"/>
          <w:lang w:eastAsia="en-GB"/>
        </w:rPr>
        <w:t>api-catalogue-record</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api-documentation</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api-catalogue</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WebAPI</w:t>
      </w:r>
      <w:r w:rsidRPr="0097421E">
        <w:rPr>
          <w:rFonts w:ascii="Segoe UI" w:eastAsia="Times New Roman" w:hAnsi="Segoe UI" w:cs="Segoe UI"/>
          <w:color w:val="0B0B0B"/>
          <w:sz w:val="21"/>
          <w:szCs w:val="21"/>
          <w:lang w:eastAsia="en-GB"/>
        </w:rPr>
        <w:t> is never emitted. Likewise </w:t>
      </w:r>
      <w:r w:rsidRPr="0097421E">
        <w:rPr>
          <w:rFonts w:ascii="Courier New" w:eastAsia="Times New Roman" w:hAnsi="Courier New" w:cs="Courier New"/>
          <w:color w:val="0B0B0B"/>
          <w:sz w:val="20"/>
          <w:szCs w:val="20"/>
          <w:lang w:eastAsia="en-GB"/>
        </w:rPr>
        <w:t>geospatial-dataset</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licensed-dataset</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historical-dataset</w:t>
      </w:r>
      <w:r w:rsidRPr="0097421E">
        <w:rPr>
          <w:rFonts w:ascii="Segoe UI" w:eastAsia="Times New Roman" w:hAnsi="Segoe UI" w:cs="Segoe UI"/>
          <w:color w:val="0B0B0B"/>
          <w:sz w:val="21"/>
          <w:szCs w:val="21"/>
          <w:lang w:eastAsia="en-GB"/>
        </w:rPr>
        <w:t> all fall through to </w:t>
      </w:r>
      <w:r w:rsidRPr="0097421E">
        <w:rPr>
          <w:rFonts w:ascii="Courier New" w:eastAsia="Times New Roman" w:hAnsi="Courier New" w:cs="Courier New"/>
          <w:color w:val="0B0B0B"/>
          <w:sz w:val="20"/>
          <w:szCs w:val="20"/>
          <w:lang w:eastAsia="en-GB"/>
        </w:rPr>
        <w:t>CreativeWork</w:t>
      </w:r>
      <w:r w:rsidRPr="0097421E">
        <w:rPr>
          <w:rFonts w:ascii="Segoe UI" w:eastAsia="Times New Roman" w:hAnsi="Segoe UI" w:cs="Segoe UI"/>
          <w:color w:val="0B0B0B"/>
          <w:sz w:val="21"/>
          <w:szCs w:val="21"/>
          <w:lang w:eastAsia="en-GB"/>
        </w:rPr>
        <w:t> — so even the datasets aren't consistently typed as datasets.</w:t>
      </w:r>
    </w:p>
    <w:p w14:paraId="1D6886D0"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4. </w:t>
      </w:r>
      <w:r w:rsidRPr="0097421E">
        <w:rPr>
          <w:rFonts w:ascii="inherit" w:eastAsia="Times New Roman" w:hAnsi="inherit" w:cs="Courier New"/>
          <w:color w:val="184F95"/>
          <w:sz w:val="20"/>
          <w:szCs w:val="20"/>
          <w:lang w:eastAsia="en-GB"/>
        </w:rPr>
        <w:t>docs/architecture.md:99-104</w:t>
      </w:r>
      <w:r w:rsidRPr="0097421E">
        <w:rPr>
          <w:rFonts w:ascii="Segoe UI" w:eastAsia="Times New Roman" w:hAnsi="Segoe UI" w:cs="Segoe UI"/>
          <w:color w:val="0B0B0B"/>
          <w:sz w:val="21"/>
          <w:szCs w:val="21"/>
          <w:lang w:eastAsia="en-GB"/>
        </w:rPr>
        <w:t> claims a gate that doesn't exist.</w:t>
      </w:r>
    </w:p>
    <w:p w14:paraId="4E089CB3" w14:textId="77777777" w:rsidR="0097421E" w:rsidRPr="0097421E" w:rsidRDefault="0097421E" w:rsidP="0097421E">
      <w:pPr>
        <w:shd w:val="clear" w:color="auto" w:fill="FCFCFB"/>
        <w:rPr>
          <w:rFonts w:ascii="Segoe UI" w:eastAsia="Times New Roman" w:hAnsi="Segoe UI" w:cs="Segoe UI"/>
          <w:color w:val="6D6B67"/>
          <w:sz w:val="21"/>
          <w:szCs w:val="21"/>
          <w:lang w:eastAsia="en-GB"/>
        </w:rPr>
      </w:pPr>
      <w:r w:rsidRPr="0097421E">
        <w:rPr>
          <w:rFonts w:ascii="Segoe UI" w:eastAsia="Times New Roman" w:hAnsi="Segoe UI" w:cs="Segoe UI"/>
          <w:color w:val="6D6B67"/>
          <w:sz w:val="21"/>
          <w:szCs w:val="21"/>
          <w:lang w:eastAsia="en-GB"/>
        </w:rPr>
        <w:t>"…source, build-engine, governance and contract changes select </w:t>
      </w:r>
      <w:r w:rsidRPr="0097421E">
        <w:rPr>
          <w:rFonts w:ascii="Courier New" w:eastAsia="Times New Roman" w:hAnsi="Courier New" w:cs="Courier New"/>
          <w:color w:val="0B0B0B"/>
          <w:sz w:val="20"/>
          <w:szCs w:val="20"/>
          <w:lang w:eastAsia="en-GB"/>
        </w:rPr>
        <w:t>tests.test_explorer_contract</w:t>
      </w:r>
      <w:r w:rsidRPr="0097421E">
        <w:rPr>
          <w:rFonts w:ascii="Segoe UI" w:eastAsia="Times New Roman" w:hAnsi="Segoe UI" w:cs="Segoe UI"/>
          <w:color w:val="6D6B67"/>
          <w:sz w:val="21"/>
          <w:szCs w:val="21"/>
          <w:lang w:eastAsia="en-GB"/>
        </w:rPr>
        <w:t>. This prevents a schema-valid producer artifact from being treated as usable until the selected Explorer consumer has loaded its descriptor and referenced assets."</w:t>
      </w:r>
    </w:p>
    <w:p w14:paraId="3B706647"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inherit" w:eastAsia="Times New Roman" w:hAnsi="inherit" w:cs="Courier New"/>
          <w:color w:val="184F95"/>
          <w:sz w:val="20"/>
          <w:szCs w:val="20"/>
          <w:lang w:eastAsia="en-GB"/>
        </w:rPr>
        <w:t>tests/test_explorer_contract.py</w:t>
      </w:r>
      <w:r w:rsidRPr="0097421E">
        <w:rPr>
          <w:rFonts w:ascii="Segoe UI" w:eastAsia="Times New Roman" w:hAnsi="Segoe UI" w:cs="Segoe UI"/>
          <w:color w:val="0B0B0B"/>
          <w:sz w:val="21"/>
          <w:szCs w:val="21"/>
          <w:lang w:eastAsia="en-GB"/>
        </w:rPr>
        <w:t> does not exist. It's referenced in three places — </w:t>
      </w:r>
      <w:r w:rsidRPr="0097421E">
        <w:rPr>
          <w:rFonts w:ascii="inherit" w:eastAsia="Times New Roman" w:hAnsi="inherit" w:cs="Courier New"/>
          <w:color w:val="184F95"/>
          <w:sz w:val="20"/>
          <w:szCs w:val="20"/>
          <w:lang w:eastAsia="en-GB"/>
        </w:rPr>
        <w:t>governance/artifact-dependency-graph.json:284</w:t>
      </w:r>
      <w:r w:rsidRPr="0097421E">
        <w:rPr>
          <w:rFonts w:ascii="Segoe UI" w:eastAsia="Times New Roman" w:hAnsi="Segoe UI" w:cs="Segoe UI"/>
          <w:color w:val="0B0B0B"/>
          <w:sz w:val="21"/>
          <w:szCs w:val="21"/>
          <w:lang w:eastAsia="en-GB"/>
        </w:rPr>
        <w:t>, the same file at </w:t>
      </w:r>
      <w:r w:rsidRPr="0097421E">
        <w:rPr>
          <w:rFonts w:ascii="Courier New" w:eastAsia="Times New Roman" w:hAnsi="Courier New" w:cs="Courier New"/>
          <w:color w:val="0B0B0B"/>
          <w:sz w:val="20"/>
          <w:szCs w:val="20"/>
          <w:lang w:eastAsia="en-GB"/>
        </w:rPr>
        <w:t>:734</w:t>
      </w:r>
      <w:r w:rsidRPr="0097421E">
        <w:rPr>
          <w:rFonts w:ascii="Segoe UI" w:eastAsia="Times New Roman" w:hAnsi="Segoe UI" w:cs="Segoe UI"/>
          <w:color w:val="0B0B0B"/>
          <w:sz w:val="21"/>
          <w:szCs w:val="21"/>
          <w:lang w:eastAsia="en-GB"/>
        </w:rPr>
        <w:t>, and </w:t>
      </w:r>
      <w:r w:rsidRPr="0097421E">
        <w:rPr>
          <w:rFonts w:ascii="inherit" w:eastAsia="Times New Roman" w:hAnsi="inherit" w:cs="Courier New"/>
          <w:color w:val="184F95"/>
          <w:sz w:val="20"/>
          <w:szCs w:val="20"/>
          <w:lang w:eastAsia="en-GB"/>
        </w:rPr>
        <w:t>domain-profile/domain-profile.json:3304</w:t>
      </w:r>
      <w:r w:rsidRPr="0097421E">
        <w:rPr>
          <w:rFonts w:ascii="Segoe UI" w:eastAsia="Times New Roman" w:hAnsi="Segoe UI" w:cs="Segoe UI"/>
          <w:color w:val="0B0B0B"/>
          <w:sz w:val="21"/>
          <w:szCs w:val="21"/>
          <w:lang w:eastAsia="en-GB"/>
        </w:rPr>
        <w:t> names it as </w:t>
      </w:r>
      <w:r w:rsidRPr="0097421E">
        <w:rPr>
          <w:rFonts w:ascii="Segoe UI" w:eastAsia="Times New Roman" w:hAnsi="Segoe UI" w:cs="Segoe UI"/>
          <w:i/>
          <w:iCs/>
          <w:color w:val="0B0B0B"/>
          <w:sz w:val="21"/>
          <w:szCs w:val="21"/>
          <w:lang w:eastAsia="en-GB"/>
        </w:rPr>
        <w:t>the validator</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change_impact.py</w:t>
      </w:r>
      <w:r w:rsidRPr="0097421E">
        <w:rPr>
          <w:rFonts w:ascii="Segoe UI" w:eastAsia="Times New Roman" w:hAnsi="Segoe UI" w:cs="Segoe UI"/>
          <w:color w:val="0B0B0B"/>
          <w:sz w:val="21"/>
          <w:szCs w:val="21"/>
          <w:lang w:eastAsia="en-GB"/>
        </w:rPr>
        <w:t> will select a test that can't run. This is present-tense prose for unbuilt work, and it's the mitigation for RISK-016 ("published bundle is syntactically valid but unusable in its declared consumer") — so that risk is currently unmitigated despite the paperwork.</w:t>
      </w:r>
    </w:p>
    <w:p w14:paraId="6210972B"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5. Placeholder strings stand in for unknowns, contradicting your own rule.</w:t>
      </w:r>
    </w:p>
    <w:p w14:paraId="3184439C"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inherit" w:eastAsia="Times New Roman" w:hAnsi="inherit" w:cs="Courier New"/>
          <w:color w:val="184F95"/>
          <w:sz w:val="20"/>
          <w:szCs w:val="20"/>
          <w:lang w:eastAsia="en-GB"/>
        </w:rPr>
        <w:t>docs/metadata-model.md:12</w:t>
      </w:r>
      <w:r w:rsidRPr="0097421E">
        <w:rPr>
          <w:rFonts w:ascii="Segoe UI" w:eastAsia="Times New Roman" w:hAnsi="Segoe UI" w:cs="Segoe UI"/>
          <w:color w:val="0B0B0B"/>
          <w:sz w:val="21"/>
          <w:szCs w:val="21"/>
          <w:lang w:eastAsia="en-GB"/>
        </w:rPr>
        <w:t>: </w:t>
      </w:r>
      <w:r w:rsidRPr="0097421E">
        <w:rPr>
          <w:rFonts w:ascii="Segoe UI" w:eastAsia="Times New Roman" w:hAnsi="Segoe UI" w:cs="Segoe UI"/>
          <w:i/>
          <w:iCs/>
          <w:color w:val="0B0B0B"/>
          <w:sz w:val="21"/>
          <w:szCs w:val="21"/>
          <w:lang w:eastAsia="en-GB"/>
        </w:rPr>
        <w:t>"Represent unknown values explicitly; do not replace them with empty certainty."</w:t>
      </w:r>
      <w:r w:rsidRPr="0097421E">
        <w:rPr>
          <w:rFonts w:ascii="Segoe UI" w:eastAsia="Times New Roman" w:hAnsi="Segoe UI" w:cs="Segoe UI"/>
          <w:color w:val="0B0B0B"/>
          <w:sz w:val="21"/>
          <w:szCs w:val="21"/>
          <w:lang w:eastAsia="en-GB"/>
        </w:rPr>
        <w:t> But:</w:t>
      </w:r>
    </w:p>
    <w:tbl>
      <w:tblPr>
        <w:tblW w:w="11520" w:type="dxa"/>
        <w:tblCellSpacing w:w="15" w:type="dxa"/>
        <w:tblCellMar>
          <w:left w:w="0" w:type="dxa"/>
          <w:right w:w="0" w:type="dxa"/>
        </w:tblCellMar>
        <w:tblLook w:val="04A0" w:firstRow="1" w:lastRow="0" w:firstColumn="1" w:lastColumn="0" w:noHBand="0" w:noVBand="1"/>
      </w:tblPr>
      <w:tblGrid>
        <w:gridCol w:w="1754"/>
        <w:gridCol w:w="8701"/>
        <w:gridCol w:w="1065"/>
      </w:tblGrid>
      <w:tr w:rsidR="0097421E" w:rsidRPr="0097421E" w14:paraId="64D87192" w14:textId="77777777">
        <w:trPr>
          <w:tblHeader/>
          <w:tblCellSpacing w:w="15" w:type="dxa"/>
        </w:trPr>
        <w:tc>
          <w:tcPr>
            <w:tcW w:w="0" w:type="auto"/>
            <w:tcMar>
              <w:top w:w="90" w:type="dxa"/>
              <w:left w:w="90" w:type="dxa"/>
              <w:bottom w:w="90" w:type="dxa"/>
              <w:right w:w="90" w:type="dxa"/>
            </w:tcMar>
            <w:hideMark/>
          </w:tcPr>
          <w:p w14:paraId="3A227C3B" w14:textId="77777777" w:rsidR="0097421E" w:rsidRPr="0097421E" w:rsidRDefault="0097421E" w:rsidP="0097421E">
            <w:pPr>
              <w:rPr>
                <w:rFonts w:ascii="Times New Roman" w:eastAsia="Times New Roman" w:hAnsi="Times New Roman" w:cs="Times New Roman"/>
                <w:sz w:val="24"/>
                <w:lang w:eastAsia="en-GB"/>
              </w:rPr>
            </w:pPr>
            <w:r w:rsidRPr="0097421E">
              <w:rPr>
                <w:rFonts w:ascii="Times New Roman" w:eastAsia="Times New Roman" w:hAnsi="Times New Roman" w:cs="Times New Roman"/>
                <w:sz w:val="24"/>
                <w:lang w:eastAsia="en-GB"/>
              </w:rPr>
              <w:t>Field</w:t>
            </w:r>
          </w:p>
        </w:tc>
        <w:tc>
          <w:tcPr>
            <w:tcW w:w="0" w:type="auto"/>
            <w:tcMar>
              <w:top w:w="90" w:type="dxa"/>
              <w:left w:w="90" w:type="dxa"/>
              <w:bottom w:w="90" w:type="dxa"/>
              <w:right w:w="90" w:type="dxa"/>
            </w:tcMar>
            <w:hideMark/>
          </w:tcPr>
          <w:p w14:paraId="5804C4FD" w14:textId="77777777" w:rsidR="0097421E" w:rsidRPr="0097421E" w:rsidRDefault="0097421E" w:rsidP="0097421E">
            <w:pPr>
              <w:rPr>
                <w:rFonts w:ascii="Times New Roman" w:eastAsia="Times New Roman" w:hAnsi="Times New Roman" w:cs="Times New Roman"/>
                <w:sz w:val="24"/>
                <w:lang w:eastAsia="en-GB"/>
              </w:rPr>
            </w:pPr>
            <w:r w:rsidRPr="0097421E">
              <w:rPr>
                <w:rFonts w:ascii="Times New Roman" w:eastAsia="Times New Roman" w:hAnsi="Times New Roman" w:cs="Times New Roman"/>
                <w:sz w:val="24"/>
                <w:lang w:eastAsia="en-GB"/>
              </w:rPr>
              <w:t>Placeholder</w:t>
            </w:r>
          </w:p>
        </w:tc>
        <w:tc>
          <w:tcPr>
            <w:tcW w:w="0" w:type="auto"/>
            <w:tcMar>
              <w:top w:w="90" w:type="dxa"/>
              <w:left w:w="90" w:type="dxa"/>
              <w:bottom w:w="90" w:type="dxa"/>
              <w:right w:w="90" w:type="dxa"/>
            </w:tcMar>
            <w:hideMark/>
          </w:tcPr>
          <w:p w14:paraId="4A060AC8" w14:textId="77777777" w:rsidR="0097421E" w:rsidRPr="0097421E" w:rsidRDefault="0097421E" w:rsidP="0097421E">
            <w:pPr>
              <w:rPr>
                <w:rFonts w:ascii="Times New Roman" w:eastAsia="Times New Roman" w:hAnsi="Times New Roman" w:cs="Times New Roman"/>
                <w:sz w:val="24"/>
                <w:lang w:eastAsia="en-GB"/>
              </w:rPr>
            </w:pPr>
            <w:r w:rsidRPr="0097421E">
              <w:rPr>
                <w:rFonts w:ascii="Times New Roman" w:eastAsia="Times New Roman" w:hAnsi="Times New Roman" w:cs="Times New Roman"/>
                <w:sz w:val="24"/>
                <w:lang w:eastAsia="en-GB"/>
              </w:rPr>
              <w:t>Records</w:t>
            </w:r>
          </w:p>
        </w:tc>
      </w:tr>
      <w:tr w:rsidR="0097421E" w:rsidRPr="0097421E" w14:paraId="40C9B411" w14:textId="77777777">
        <w:trPr>
          <w:tblCellSpacing w:w="15" w:type="dxa"/>
        </w:trPr>
        <w:tc>
          <w:tcPr>
            <w:tcW w:w="0" w:type="auto"/>
            <w:tcMar>
              <w:top w:w="90" w:type="dxa"/>
              <w:left w:w="90" w:type="dxa"/>
              <w:bottom w:w="90" w:type="dxa"/>
              <w:right w:w="90" w:type="dxa"/>
            </w:tcMar>
            <w:hideMark/>
          </w:tcPr>
          <w:p w14:paraId="5E89E2DA" w14:textId="77777777" w:rsidR="0097421E" w:rsidRPr="0097421E" w:rsidRDefault="0097421E" w:rsidP="0097421E">
            <w:pPr>
              <w:rPr>
                <w:rFonts w:ascii="Times New Roman" w:eastAsia="Times New Roman" w:hAnsi="Times New Roman" w:cs="Times New Roman"/>
                <w:sz w:val="24"/>
                <w:lang w:eastAsia="en-GB"/>
              </w:rPr>
            </w:pPr>
            <w:r w:rsidRPr="0097421E">
              <w:rPr>
                <w:rFonts w:ascii="Courier New" w:eastAsia="Times New Roman" w:hAnsi="Courier New" w:cs="Courier New"/>
                <w:color w:val="0B0B0B"/>
                <w:sz w:val="20"/>
                <w:szCs w:val="20"/>
                <w:lang w:eastAsia="en-GB"/>
              </w:rPr>
              <w:t>licence</w:t>
            </w:r>
          </w:p>
        </w:tc>
        <w:tc>
          <w:tcPr>
            <w:tcW w:w="0" w:type="auto"/>
            <w:tcMar>
              <w:top w:w="90" w:type="dxa"/>
              <w:left w:w="90" w:type="dxa"/>
              <w:bottom w:w="90" w:type="dxa"/>
              <w:right w:w="90" w:type="dxa"/>
            </w:tcMar>
            <w:hideMark/>
          </w:tcPr>
          <w:p w14:paraId="6AD0A5DA" w14:textId="77777777" w:rsidR="0097421E" w:rsidRPr="0097421E" w:rsidRDefault="0097421E" w:rsidP="0097421E">
            <w:pPr>
              <w:rPr>
                <w:rFonts w:ascii="Times New Roman" w:eastAsia="Times New Roman" w:hAnsi="Times New Roman" w:cs="Times New Roman"/>
                <w:sz w:val="24"/>
                <w:lang w:eastAsia="en-GB"/>
              </w:rPr>
            </w:pPr>
            <w:r w:rsidRPr="0097421E">
              <w:rPr>
                <w:rFonts w:ascii="Courier New" w:eastAsia="Times New Roman" w:hAnsi="Courier New" w:cs="Courier New"/>
                <w:color w:val="0B0B0B"/>
                <w:sz w:val="20"/>
                <w:szCs w:val="20"/>
                <w:lang w:eastAsia="en-GB"/>
              </w:rPr>
              <w:t>check source-specific Crown copyright and reuse terms</w:t>
            </w:r>
          </w:p>
        </w:tc>
        <w:tc>
          <w:tcPr>
            <w:tcW w:w="0" w:type="auto"/>
            <w:tcMar>
              <w:top w:w="90" w:type="dxa"/>
              <w:left w:w="90" w:type="dxa"/>
              <w:bottom w:w="90" w:type="dxa"/>
              <w:right w:w="90" w:type="dxa"/>
            </w:tcMar>
            <w:hideMark/>
          </w:tcPr>
          <w:p w14:paraId="6177822C" w14:textId="77777777" w:rsidR="0097421E" w:rsidRPr="0097421E" w:rsidRDefault="0097421E" w:rsidP="0097421E">
            <w:pPr>
              <w:rPr>
                <w:rFonts w:ascii="Times New Roman" w:eastAsia="Times New Roman" w:hAnsi="Times New Roman" w:cs="Times New Roman"/>
                <w:sz w:val="24"/>
                <w:lang w:eastAsia="en-GB"/>
              </w:rPr>
            </w:pPr>
            <w:r w:rsidRPr="0097421E">
              <w:rPr>
                <w:rFonts w:ascii="Times New Roman" w:eastAsia="Times New Roman" w:hAnsi="Times New Roman" w:cs="Times New Roman"/>
                <w:sz w:val="24"/>
                <w:lang w:eastAsia="en-GB"/>
              </w:rPr>
              <w:t>1,843</w:t>
            </w:r>
          </w:p>
        </w:tc>
      </w:tr>
      <w:tr w:rsidR="0097421E" w:rsidRPr="0097421E" w14:paraId="2E18058D" w14:textId="77777777">
        <w:trPr>
          <w:tblCellSpacing w:w="15" w:type="dxa"/>
        </w:trPr>
        <w:tc>
          <w:tcPr>
            <w:tcW w:w="0" w:type="auto"/>
            <w:tcMar>
              <w:top w:w="90" w:type="dxa"/>
              <w:left w:w="90" w:type="dxa"/>
              <w:bottom w:w="90" w:type="dxa"/>
              <w:right w:w="90" w:type="dxa"/>
            </w:tcMar>
            <w:hideMark/>
          </w:tcPr>
          <w:p w14:paraId="150DC11A" w14:textId="77777777" w:rsidR="0097421E" w:rsidRPr="0097421E" w:rsidRDefault="0097421E" w:rsidP="0097421E">
            <w:pPr>
              <w:rPr>
                <w:rFonts w:ascii="Times New Roman" w:eastAsia="Times New Roman" w:hAnsi="Times New Roman" w:cs="Times New Roman"/>
                <w:sz w:val="24"/>
                <w:lang w:eastAsia="en-GB"/>
              </w:rPr>
            </w:pPr>
            <w:r w:rsidRPr="0097421E">
              <w:rPr>
                <w:rFonts w:ascii="Courier New" w:eastAsia="Times New Roman" w:hAnsi="Courier New" w:cs="Courier New"/>
                <w:color w:val="0B0B0B"/>
                <w:sz w:val="20"/>
                <w:szCs w:val="20"/>
                <w:lang w:eastAsia="en-GB"/>
              </w:rPr>
              <w:t>jurisdiction</w:t>
            </w:r>
          </w:p>
        </w:tc>
        <w:tc>
          <w:tcPr>
            <w:tcW w:w="0" w:type="auto"/>
            <w:tcMar>
              <w:top w:w="90" w:type="dxa"/>
              <w:left w:w="90" w:type="dxa"/>
              <w:bottom w:w="90" w:type="dxa"/>
              <w:right w:w="90" w:type="dxa"/>
            </w:tcMar>
            <w:hideMark/>
          </w:tcPr>
          <w:p w14:paraId="4BB5BC84" w14:textId="77777777" w:rsidR="0097421E" w:rsidRPr="0097421E" w:rsidRDefault="0097421E" w:rsidP="0097421E">
            <w:pPr>
              <w:rPr>
                <w:rFonts w:ascii="Times New Roman" w:eastAsia="Times New Roman" w:hAnsi="Times New Roman" w:cs="Times New Roman"/>
                <w:sz w:val="24"/>
                <w:lang w:eastAsia="en-GB"/>
              </w:rPr>
            </w:pPr>
            <w:r w:rsidRPr="0097421E">
              <w:rPr>
                <w:rFonts w:ascii="Courier New" w:eastAsia="Times New Roman" w:hAnsi="Courier New" w:cs="Courier New"/>
                <w:color w:val="0B0B0B"/>
                <w:sz w:val="20"/>
                <w:szCs w:val="20"/>
                <w:lang w:eastAsia="en-GB"/>
              </w:rPr>
              <w:t>Source-specific; HM Land Registry normally covers England and Wales</w:t>
            </w:r>
          </w:p>
        </w:tc>
        <w:tc>
          <w:tcPr>
            <w:tcW w:w="0" w:type="auto"/>
            <w:tcMar>
              <w:top w:w="90" w:type="dxa"/>
              <w:left w:w="90" w:type="dxa"/>
              <w:bottom w:w="90" w:type="dxa"/>
              <w:right w:w="90" w:type="dxa"/>
            </w:tcMar>
            <w:hideMark/>
          </w:tcPr>
          <w:p w14:paraId="160DE507" w14:textId="77777777" w:rsidR="0097421E" w:rsidRPr="0097421E" w:rsidRDefault="0097421E" w:rsidP="0097421E">
            <w:pPr>
              <w:rPr>
                <w:rFonts w:ascii="Times New Roman" w:eastAsia="Times New Roman" w:hAnsi="Times New Roman" w:cs="Times New Roman"/>
                <w:sz w:val="24"/>
                <w:lang w:eastAsia="en-GB"/>
              </w:rPr>
            </w:pPr>
            <w:r w:rsidRPr="0097421E">
              <w:rPr>
                <w:rFonts w:ascii="Times New Roman" w:eastAsia="Times New Roman" w:hAnsi="Times New Roman" w:cs="Times New Roman"/>
                <w:sz w:val="24"/>
                <w:lang w:eastAsia="en-GB"/>
              </w:rPr>
              <w:t>1,858</w:t>
            </w:r>
          </w:p>
        </w:tc>
      </w:tr>
      <w:tr w:rsidR="0097421E" w:rsidRPr="0097421E" w14:paraId="171F99E3" w14:textId="77777777">
        <w:trPr>
          <w:tblCellSpacing w:w="15" w:type="dxa"/>
        </w:trPr>
        <w:tc>
          <w:tcPr>
            <w:tcW w:w="0" w:type="auto"/>
            <w:tcMar>
              <w:top w:w="90" w:type="dxa"/>
              <w:left w:w="90" w:type="dxa"/>
              <w:bottom w:w="90" w:type="dxa"/>
              <w:right w:w="90" w:type="dxa"/>
            </w:tcMar>
            <w:hideMark/>
          </w:tcPr>
          <w:p w14:paraId="6A99BB0D" w14:textId="77777777" w:rsidR="0097421E" w:rsidRPr="0097421E" w:rsidRDefault="0097421E" w:rsidP="0097421E">
            <w:pPr>
              <w:rPr>
                <w:rFonts w:ascii="Times New Roman" w:eastAsia="Times New Roman" w:hAnsi="Times New Roman" w:cs="Times New Roman"/>
                <w:sz w:val="24"/>
                <w:lang w:eastAsia="en-GB"/>
              </w:rPr>
            </w:pPr>
            <w:r w:rsidRPr="0097421E">
              <w:rPr>
                <w:rFonts w:ascii="Courier New" w:eastAsia="Times New Roman" w:hAnsi="Courier New" w:cs="Courier New"/>
                <w:color w:val="0B0B0B"/>
                <w:sz w:val="20"/>
                <w:szCs w:val="20"/>
                <w:lang w:eastAsia="en-GB"/>
              </w:rPr>
              <w:t>cadence</w:t>
            </w:r>
          </w:p>
        </w:tc>
        <w:tc>
          <w:tcPr>
            <w:tcW w:w="0" w:type="auto"/>
            <w:tcMar>
              <w:top w:w="90" w:type="dxa"/>
              <w:left w:w="90" w:type="dxa"/>
              <w:bottom w:w="90" w:type="dxa"/>
              <w:right w:w="90" w:type="dxa"/>
            </w:tcMar>
            <w:hideMark/>
          </w:tcPr>
          <w:p w14:paraId="26A9D0D8" w14:textId="77777777" w:rsidR="0097421E" w:rsidRPr="0097421E" w:rsidRDefault="0097421E" w:rsidP="0097421E">
            <w:pPr>
              <w:rPr>
                <w:rFonts w:ascii="Times New Roman" w:eastAsia="Times New Roman" w:hAnsi="Times New Roman" w:cs="Times New Roman"/>
                <w:sz w:val="24"/>
                <w:lang w:eastAsia="en-GB"/>
              </w:rPr>
            </w:pPr>
            <w:r w:rsidRPr="0097421E">
              <w:rPr>
                <w:rFonts w:ascii="Courier New" w:eastAsia="Times New Roman" w:hAnsi="Courier New" w:cs="Courier New"/>
                <w:color w:val="0B0B0B"/>
                <w:sz w:val="20"/>
                <w:szCs w:val="20"/>
                <w:lang w:eastAsia="en-GB"/>
              </w:rPr>
              <w:t>source-specific</w:t>
            </w:r>
          </w:p>
        </w:tc>
        <w:tc>
          <w:tcPr>
            <w:tcW w:w="0" w:type="auto"/>
            <w:tcMar>
              <w:top w:w="90" w:type="dxa"/>
              <w:left w:w="90" w:type="dxa"/>
              <w:bottom w:w="90" w:type="dxa"/>
              <w:right w:w="90" w:type="dxa"/>
            </w:tcMar>
            <w:hideMark/>
          </w:tcPr>
          <w:p w14:paraId="5BBDB041" w14:textId="77777777" w:rsidR="0097421E" w:rsidRPr="0097421E" w:rsidRDefault="0097421E" w:rsidP="0097421E">
            <w:pPr>
              <w:rPr>
                <w:rFonts w:ascii="Times New Roman" w:eastAsia="Times New Roman" w:hAnsi="Times New Roman" w:cs="Times New Roman"/>
                <w:sz w:val="24"/>
                <w:lang w:eastAsia="en-GB"/>
              </w:rPr>
            </w:pPr>
            <w:r w:rsidRPr="0097421E">
              <w:rPr>
                <w:rFonts w:ascii="Times New Roman" w:eastAsia="Times New Roman" w:hAnsi="Times New Roman" w:cs="Times New Roman"/>
                <w:sz w:val="24"/>
                <w:lang w:eastAsia="en-GB"/>
              </w:rPr>
              <w:t>1,843</w:t>
            </w:r>
          </w:p>
        </w:tc>
      </w:tr>
    </w:tbl>
    <w:p w14:paraId="325F5F00"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These are </w:t>
      </w:r>
      <w:r w:rsidRPr="0097421E">
        <w:rPr>
          <w:rFonts w:ascii="Courier New" w:eastAsia="Times New Roman" w:hAnsi="Courier New" w:cs="Courier New"/>
          <w:color w:val="0B0B0B"/>
          <w:sz w:val="20"/>
          <w:szCs w:val="20"/>
          <w:lang w:eastAsia="en-GB"/>
        </w:rPr>
        <w:t>null</w:t>
      </w:r>
      <w:r w:rsidRPr="0097421E">
        <w:rPr>
          <w:rFonts w:ascii="Segoe UI" w:eastAsia="Times New Roman" w:hAnsi="Segoe UI" w:cs="Segoe UI"/>
          <w:color w:val="0B0B0B"/>
          <w:sz w:val="21"/>
          <w:szCs w:val="21"/>
          <w:lang w:eastAsia="en-GB"/>
        </w:rPr>
        <w:t> wearing a sentence. You handle this correctly elsewhere — </w:t>
      </w:r>
      <w:r w:rsidRPr="0097421E">
        <w:rPr>
          <w:rFonts w:ascii="Courier New" w:eastAsia="Times New Roman" w:hAnsi="Courier New" w:cs="Courier New"/>
          <w:color w:val="0B0B0B"/>
          <w:sz w:val="20"/>
          <w:szCs w:val="20"/>
          <w:lang w:eastAsia="en-GB"/>
        </w:rPr>
        <w:t>lifecycle_state: "unknown"</w:t>
      </w:r>
      <w:r w:rsidRPr="0097421E">
        <w:rPr>
          <w:rFonts w:ascii="Segoe UI" w:eastAsia="Times New Roman" w:hAnsi="Segoe UI" w:cs="Segoe UI"/>
          <w:color w:val="0B0B0B"/>
          <w:sz w:val="21"/>
          <w:szCs w:val="21"/>
          <w:lang w:eastAsia="en-GB"/>
        </w:rPr>
        <w:t> for 1,913 records — so the inconsistency is the problem, not the capability.</w:t>
      </w:r>
    </w:p>
    <w:p w14:paraId="0FCC4C0F"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6. The Welsh-language commitment isn't in the data.</w:t>
      </w:r>
    </w:p>
    <w:p w14:paraId="2B8E92BF"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RISK-012 is "English-only assumptions obscure official Welsh material," and </w:t>
      </w:r>
      <w:r w:rsidRPr="0097421E">
        <w:rPr>
          <w:rFonts w:ascii="Courier New" w:eastAsia="Times New Roman" w:hAnsi="Courier New" w:cs="Courier New"/>
          <w:color w:val="0B0B0B"/>
          <w:sz w:val="20"/>
          <w:szCs w:val="20"/>
          <w:lang w:eastAsia="en-GB"/>
        </w:rPr>
        <w:t>README.md:129</w:t>
      </w:r>
      <w:r w:rsidRPr="0097421E">
        <w:rPr>
          <w:rFonts w:ascii="Segoe UI" w:eastAsia="Times New Roman" w:hAnsi="Segoe UI" w:cs="Segoe UI"/>
          <w:color w:val="0B0B0B"/>
          <w:sz w:val="21"/>
          <w:szCs w:val="21"/>
          <w:lang w:eastAsia="en-GB"/>
        </w:rPr>
        <w:t> lists "loss of Welsh-language distinctions" as a hard failure. But </w:t>
      </w:r>
      <w:r w:rsidRPr="0097421E">
        <w:rPr>
          <w:rFonts w:ascii="Courier New" w:eastAsia="Times New Roman" w:hAnsi="Courier New" w:cs="Courier New"/>
          <w:color w:val="0B0B0B"/>
          <w:sz w:val="20"/>
          <w:szCs w:val="20"/>
          <w:lang w:eastAsia="en-GB"/>
        </w:rPr>
        <w:t>languages</w:t>
      </w:r>
      <w:r w:rsidRPr="0097421E">
        <w:rPr>
          <w:rFonts w:ascii="Segoe UI" w:eastAsia="Times New Roman" w:hAnsi="Segoe UI" w:cs="Segoe UI"/>
          <w:color w:val="0B0B0B"/>
          <w:sz w:val="21"/>
          <w:szCs w:val="21"/>
          <w:lang w:eastAsia="en-GB"/>
        </w:rPr>
        <w:t> is empty for 2,199 of 2,202 records — populated only on two curated Welsh Language Scheme records plus one accessibility statement. </w:t>
      </w:r>
      <w:r w:rsidRPr="0097421E">
        <w:rPr>
          <w:rFonts w:ascii="inherit" w:eastAsia="Times New Roman" w:hAnsi="inherit" w:cs="Courier New"/>
          <w:color w:val="184F95"/>
          <w:sz w:val="20"/>
          <w:szCs w:val="20"/>
          <w:lang w:eastAsia="en-GB"/>
        </w:rPr>
        <w:t>scripts/acquire.py:377</w:t>
      </w:r>
      <w:r w:rsidRPr="0097421E">
        <w:rPr>
          <w:rFonts w:ascii="Segoe UI" w:eastAsia="Times New Roman" w:hAnsi="Segoe UI" w:cs="Segoe UI"/>
          <w:color w:val="0B0B0B"/>
          <w:sz w:val="21"/>
          <w:szCs w:val="21"/>
          <w:lang w:eastAsia="en-GB"/>
        </w:rPr>
        <w:t> pulls </w:t>
      </w:r>
      <w:r w:rsidRPr="0097421E">
        <w:rPr>
          <w:rFonts w:ascii="Courier New" w:eastAsia="Times New Roman" w:hAnsi="Courier New" w:cs="Courier New"/>
          <w:color w:val="0B0B0B"/>
          <w:sz w:val="20"/>
          <w:szCs w:val="20"/>
          <w:lang w:eastAsia="en-GB"/>
        </w:rPr>
        <w:t>content_store_document_type</w:t>
      </w:r>
      <w:r w:rsidRPr="0097421E">
        <w:rPr>
          <w:rFonts w:ascii="Segoe UI" w:eastAsia="Times New Roman" w:hAnsi="Segoe UI" w:cs="Segoe UI"/>
          <w:color w:val="0B0B0B"/>
          <w:sz w:val="21"/>
          <w:szCs w:val="21"/>
          <w:lang w:eastAsia="en-GB"/>
        </w:rPr>
        <w:t> but never </w:t>
      </w:r>
      <w:r w:rsidRPr="0097421E">
        <w:rPr>
          <w:rFonts w:ascii="Courier New" w:eastAsia="Times New Roman" w:hAnsi="Courier New" w:cs="Courier New"/>
          <w:color w:val="0B0B0B"/>
          <w:sz w:val="20"/>
          <w:szCs w:val="20"/>
          <w:lang w:eastAsia="en-GB"/>
        </w:rPr>
        <w:t>locale</w:t>
      </w:r>
      <w:r w:rsidRPr="0097421E">
        <w:rPr>
          <w:rFonts w:ascii="Segoe UI" w:eastAsia="Times New Roman" w:hAnsi="Segoe UI" w:cs="Segoe UI"/>
          <w:color w:val="0B0B0B"/>
          <w:sz w:val="21"/>
          <w:szCs w:val="21"/>
          <w:lang w:eastAsia="en-GB"/>
        </w:rPr>
        <w:t>, which GOV.UK's Search API does expose and which is how </w:t>
      </w:r>
      <w:r w:rsidRPr="0097421E">
        <w:rPr>
          <w:rFonts w:ascii="Courier New" w:eastAsia="Times New Roman" w:hAnsi="Courier New" w:cs="Courier New"/>
          <w:color w:val="0B0B0B"/>
          <w:sz w:val="20"/>
          <w:szCs w:val="20"/>
          <w:lang w:eastAsia="en-GB"/>
        </w:rPr>
        <w:t>/cy</w:t>
      </w:r>
      <w:r w:rsidRPr="0097421E">
        <w:rPr>
          <w:rFonts w:ascii="Segoe UI" w:eastAsia="Times New Roman" w:hAnsi="Segoe UI" w:cs="Segoe UI"/>
          <w:color w:val="0B0B0B"/>
          <w:sz w:val="21"/>
          <w:szCs w:val="21"/>
          <w:lang w:eastAsia="en-GB"/>
        </w:rPr>
        <w:t> translations are identified. The control is declared; the field that would enforce it is empty.</w:t>
      </w:r>
    </w:p>
    <w:p w14:paraId="17A0852D" w14:textId="77777777" w:rsidR="0097421E" w:rsidRPr="0097421E" w:rsidRDefault="00E778EB" w:rsidP="0097421E">
      <w:pPr>
        <w:shd w:val="clear" w:color="auto" w:fill="FCFCFB"/>
        <w:rPr>
          <w:rFonts w:ascii="Segoe UI" w:eastAsia="Times New Roman" w:hAnsi="Segoe UI" w:cs="Segoe UI"/>
          <w:color w:val="0B0B0B"/>
          <w:sz w:val="21"/>
          <w:szCs w:val="21"/>
          <w:lang w:eastAsia="en-GB"/>
        </w:rPr>
      </w:pPr>
      <w:r w:rsidRPr="00E778EB">
        <w:rPr>
          <w:rFonts w:ascii="Segoe UI" w:eastAsia="Times New Roman" w:hAnsi="Segoe UI" w:cs="Segoe UI"/>
          <w:noProof/>
          <w:color w:val="0B0B0B"/>
          <w:sz w:val="21"/>
          <w:szCs w:val="21"/>
          <w:lang w:eastAsia="en-GB"/>
          <w14:ligatures w14:val="standardContextual"/>
        </w:rPr>
        <w:pict w14:anchorId="278F16FE">
          <v:rect id="_x0000_i1028" style="width:0;height:0" o:hralign="center" o:hrstd="t" o:hr="t" fillcolor="#a0a0a0" stroked="f"/>
        </w:pict>
      </w:r>
    </w:p>
    <w:p w14:paraId="0421D662" w14:textId="77777777" w:rsidR="0097421E" w:rsidRPr="0097421E" w:rsidRDefault="0097421E" w:rsidP="0097421E">
      <w:pPr>
        <w:shd w:val="clear" w:color="auto" w:fill="FCFCFB"/>
        <w:outlineLvl w:val="1"/>
        <w:rPr>
          <w:rFonts w:ascii="Segoe UI" w:eastAsia="Times New Roman" w:hAnsi="Segoe UI" w:cs="Segoe UI"/>
          <w:color w:val="6D6B67"/>
          <w:szCs w:val="22"/>
          <w:lang w:eastAsia="en-GB"/>
        </w:rPr>
      </w:pPr>
      <w:r w:rsidRPr="0097421E">
        <w:rPr>
          <w:rFonts w:ascii="Segoe UI" w:eastAsia="Times New Roman" w:hAnsi="Segoe UI" w:cs="Segoe UI"/>
          <w:color w:val="6D6B67"/>
          <w:szCs w:val="22"/>
          <w:lang w:eastAsia="en-GB"/>
        </w:rPr>
        <w:t>Missing</w:t>
      </w:r>
    </w:p>
    <w:p w14:paraId="212A2893"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No OKF core validator. </w:t>
      </w:r>
      <w:r w:rsidRPr="0097421E">
        <w:rPr>
          <w:rFonts w:ascii="inherit" w:eastAsia="Times New Roman" w:hAnsi="inherit" w:cs="Courier New"/>
          <w:color w:val="184F95"/>
          <w:sz w:val="20"/>
          <w:szCs w:val="20"/>
          <w:lang w:eastAsia="en-GB"/>
        </w:rPr>
        <w:t>docs/standards.md:17</w:t>
      </w:r>
      <w:r w:rsidRPr="0097421E">
        <w:rPr>
          <w:rFonts w:ascii="Segoe UI" w:eastAsia="Times New Roman" w:hAnsi="Segoe UI" w:cs="Segoe UI"/>
          <w:color w:val="0B0B0B"/>
          <w:sz w:val="21"/>
          <w:szCs w:val="21"/>
          <w:lang w:eastAsia="en-GB"/>
        </w:rPr>
        <w:t> marks </w:t>
      </w:r>
      <w:r w:rsidRPr="0097421E">
        <w:rPr>
          <w:rFonts w:ascii="Courier New" w:eastAsia="Times New Roman" w:hAnsi="Courier New" w:cs="Courier New"/>
          <w:color w:val="0B0B0B"/>
          <w:sz w:val="20"/>
          <w:szCs w:val="20"/>
          <w:lang w:eastAsia="en-GB"/>
        </w:rPr>
        <w:t>STD-OKF-02</w:t>
      </w:r>
      <w:r w:rsidRPr="0097421E">
        <w:rPr>
          <w:rFonts w:ascii="Segoe UI" w:eastAsia="Times New Roman" w:hAnsi="Segoe UI" w:cs="Segoe UI"/>
          <w:color w:val="0B0B0B"/>
          <w:sz w:val="21"/>
          <w:szCs w:val="21"/>
          <w:lang w:eastAsia="en-GB"/>
        </w:rPr>
        <w:t> as </w:t>
      </w:r>
      <w:r w:rsidRPr="0097421E">
        <w:rPr>
          <w:rFonts w:ascii="Segoe UI" w:eastAsia="Times New Roman" w:hAnsi="Segoe UI" w:cs="Segoe UI"/>
          <w:i/>
          <w:iCs/>
          <w:color w:val="0B0B0B"/>
          <w:sz w:val="21"/>
          <w:szCs w:val="21"/>
          <w:lang w:eastAsia="en-GB"/>
        </w:rPr>
        <w:t>normative</w:t>
      </w:r>
      <w:r w:rsidRPr="0097421E">
        <w:rPr>
          <w:rFonts w:ascii="Segoe UI" w:eastAsia="Times New Roman" w:hAnsi="Segoe UI" w:cs="Segoe UI"/>
          <w:color w:val="0B0B0B"/>
          <w:sz w:val="21"/>
          <w:szCs w:val="21"/>
          <w:lang w:eastAsia="en-GB"/>
        </w:rPr>
        <w:t> — "validate against the pinned specification." Nothing does. The entire OKF-core check is </w:t>
      </w:r>
      <w:r w:rsidRPr="0097421E">
        <w:rPr>
          <w:rFonts w:ascii="Courier New" w:eastAsia="Times New Roman" w:hAnsi="Courier New" w:cs="Courier New"/>
          <w:color w:val="0B0B0B"/>
          <w:sz w:val="20"/>
          <w:szCs w:val="20"/>
          <w:lang w:eastAsia="en-GB"/>
        </w:rPr>
        <w:t>tests/test_bundle.py::test_okf_concepts_have_frontmatter_and_log_is_newest_first</w:t>
      </w:r>
      <w:r w:rsidRPr="0097421E">
        <w:rPr>
          <w:rFonts w:ascii="Segoe UI" w:eastAsia="Times New Roman" w:hAnsi="Segoe UI" w:cs="Segoe UI"/>
          <w:color w:val="0B0B0B"/>
          <w:sz w:val="21"/>
          <w:szCs w:val="21"/>
          <w:lang w:eastAsia="en-GB"/>
        </w:rPr>
        <w:t>, which greps for the literal substrings </w:t>
      </w:r>
      <w:r w:rsidRPr="0097421E">
        <w:rPr>
          <w:rFonts w:ascii="Courier New" w:eastAsia="Times New Roman" w:hAnsi="Courier New" w:cs="Courier New"/>
          <w:color w:val="0B0B0B"/>
          <w:sz w:val="20"/>
          <w:szCs w:val="20"/>
          <w:lang w:eastAsia="en-GB"/>
        </w:rPr>
        <w:t>type:</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title:</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description:</w:t>
      </w:r>
      <w:r w:rsidRPr="0097421E">
        <w:rPr>
          <w:rFonts w:ascii="Segoe UI" w:eastAsia="Times New Roman" w:hAnsi="Segoe UI" w:cs="Segoe UI"/>
          <w:color w:val="0B0B0B"/>
          <w:sz w:val="21"/>
          <w:szCs w:val="21"/>
          <w:lang w:eastAsia="en-GB"/>
        </w:rPr>
        <w:t> in frontmatter. </w:t>
      </w:r>
      <w:r w:rsidRPr="0097421E">
        <w:rPr>
          <w:rFonts w:ascii="Courier New" w:eastAsia="Times New Roman" w:hAnsi="Courier New" w:cs="Courier New"/>
          <w:color w:val="0B0B0B"/>
          <w:sz w:val="20"/>
          <w:szCs w:val="20"/>
          <w:lang w:eastAsia="en-GB"/>
        </w:rPr>
        <w:t>okf-explorer</w:t>
      </w:r>
      <w:r w:rsidRPr="0097421E">
        <w:rPr>
          <w:rFonts w:ascii="Segoe UI" w:eastAsia="Times New Roman" w:hAnsi="Segoe UI" w:cs="Segoe UI"/>
          <w:color w:val="0B0B0B"/>
          <w:sz w:val="21"/>
          <w:szCs w:val="21"/>
          <w:lang w:eastAsia="en-GB"/>
        </w:rPr>
        <w:t> has </w:t>
      </w:r>
      <w:r w:rsidRPr="0097421E">
        <w:rPr>
          <w:rFonts w:ascii="inherit" w:eastAsia="Times New Roman" w:hAnsi="inherit" w:cs="Courier New"/>
          <w:color w:val="184F95"/>
          <w:sz w:val="20"/>
          <w:szCs w:val="20"/>
          <w:lang w:eastAsia="en-GB"/>
        </w:rPr>
        <w:t>scripts/check_okf.py</w:t>
      </w:r>
      <w:r w:rsidRPr="0097421E">
        <w:rPr>
          <w:rFonts w:ascii="Segoe UI" w:eastAsia="Times New Roman" w:hAnsi="Segoe UI" w:cs="Segoe UI"/>
          <w:color w:val="0B0B0B"/>
          <w:sz w:val="21"/>
          <w:szCs w:val="21"/>
          <w:lang w:eastAsia="en-GB"/>
        </w:rPr>
        <w:t>; this repo has no equivalent and doesn't vendor the pinned SPEC.md. A </w:t>
      </w:r>
      <w:r w:rsidRPr="0097421E">
        <w:rPr>
          <w:rFonts w:ascii="Segoe UI" w:eastAsia="Times New Roman" w:hAnsi="Segoe UI" w:cs="Segoe UI"/>
          <w:i/>
          <w:iCs/>
          <w:color w:val="0B0B0B"/>
          <w:sz w:val="21"/>
          <w:szCs w:val="21"/>
          <w:lang w:eastAsia="en-GB"/>
        </w:rPr>
        <w:t>normative</w:t>
      </w:r>
      <w:r w:rsidRPr="0097421E">
        <w:rPr>
          <w:rFonts w:ascii="Segoe UI" w:eastAsia="Times New Roman" w:hAnsi="Segoe UI" w:cs="Segoe UI"/>
          <w:color w:val="0B0B0B"/>
          <w:sz w:val="21"/>
          <w:szCs w:val="21"/>
          <w:lang w:eastAsia="en-GB"/>
        </w:rPr>
        <w:t> standard with no validator is a reference-only standard.</w:t>
      </w:r>
    </w:p>
    <w:p w14:paraId="69634101"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No negative assertions in the evaluation. All 24 questions carry a </w:t>
      </w:r>
      <w:r w:rsidRPr="0097421E">
        <w:rPr>
          <w:rFonts w:ascii="Courier New" w:eastAsia="Times New Roman" w:hAnsi="Courier New" w:cs="Courier New"/>
          <w:color w:val="0B0B0B"/>
          <w:sz w:val="20"/>
          <w:szCs w:val="20"/>
          <w:lang w:eastAsia="en-GB"/>
        </w:rPr>
        <w:t>near_miss_rule</w:t>
      </w:r>
      <w:r w:rsidRPr="0097421E">
        <w:rPr>
          <w:rFonts w:ascii="Segoe UI" w:eastAsia="Times New Roman" w:hAnsi="Segoe UI" w:cs="Segoe UI"/>
          <w:color w:val="0B0B0B"/>
          <w:sz w:val="21"/>
          <w:szCs w:val="21"/>
          <w:lang w:eastAsia="en-GB"/>
        </w:rPr>
        <w:t> — but as prose, with no machine-checkable "must NOT retrieve" list. </w:t>
      </w:r>
      <w:r w:rsidRPr="0097421E">
        <w:rPr>
          <w:rFonts w:ascii="Courier New" w:eastAsia="Times New Roman" w:hAnsi="Courier New" w:cs="Courier New"/>
          <w:color w:val="0B0B0B"/>
          <w:sz w:val="20"/>
          <w:szCs w:val="20"/>
          <w:lang w:eastAsia="en-GB"/>
        </w:rPr>
        <w:t>hard_failure_ids</w:t>
      </w:r>
      <w:r w:rsidRPr="0097421E">
        <w:rPr>
          <w:rFonts w:ascii="Segoe UI" w:eastAsia="Times New Roman" w:hAnsi="Segoe UI" w:cs="Segoe UI"/>
          <w:color w:val="0B0B0B"/>
          <w:sz w:val="21"/>
          <w:szCs w:val="21"/>
          <w:lang w:eastAsia="en-GB"/>
        </w:rPr>
        <w:t> are declared per question, and </w:t>
      </w:r>
      <w:r w:rsidRPr="0097421E">
        <w:rPr>
          <w:rFonts w:ascii="Courier New" w:eastAsia="Times New Roman" w:hAnsi="Courier New" w:cs="Courier New"/>
          <w:color w:val="0B0B0B"/>
          <w:sz w:val="20"/>
          <w:szCs w:val="20"/>
          <w:lang w:eastAsia="en-GB"/>
        </w:rPr>
        <w:t>latest-report.json</w:t>
      </w:r>
      <w:r w:rsidRPr="0097421E">
        <w:rPr>
          <w:rFonts w:ascii="Segoe UI" w:eastAsia="Times New Roman" w:hAnsi="Segoe UI" w:cs="Segoe UI"/>
          <w:color w:val="0B0B0B"/>
          <w:sz w:val="21"/>
          <w:szCs w:val="21"/>
          <w:lang w:eastAsia="en-GB"/>
        </w:rPr>
        <w:t> reports </w:t>
      </w:r>
      <w:r w:rsidRPr="0097421E">
        <w:rPr>
          <w:rFonts w:ascii="Courier New" w:eastAsia="Times New Roman" w:hAnsi="Courier New" w:cs="Courier New"/>
          <w:color w:val="0B0B0B"/>
          <w:sz w:val="20"/>
          <w:szCs w:val="20"/>
          <w:lang w:eastAsia="en-GB"/>
        </w:rPr>
        <w:t>"hard_failures_evaluated": false</w:t>
      </w:r>
      <w:r w:rsidRPr="0097421E">
        <w:rPr>
          <w:rFonts w:ascii="Segoe UI" w:eastAsia="Times New Roman" w:hAnsi="Segoe UI" w:cs="Segoe UI"/>
          <w:color w:val="0B0B0B"/>
          <w:sz w:val="21"/>
          <w:szCs w:val="21"/>
          <w:lang w:eastAsia="en-GB"/>
        </w:rPr>
        <w:t>. The result: every metric is 1.0 except MRR at 0.86, on a suite where the questions, the index and the scorer all come from the same generator. That's a closed loop that cannot fail — it tells you the build is self-consistent, not that retrieval is good.</w:t>
      </w:r>
    </w:p>
    <w:p w14:paraId="1FC1A6A5"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Publishers are blank nodes. All 2,180 "HM Land Registry" mentions serialise as </w:t>
      </w:r>
      <w:r w:rsidRPr="0097421E">
        <w:rPr>
          <w:rFonts w:ascii="Courier New" w:eastAsia="Times New Roman" w:hAnsi="Courier New" w:cs="Courier New"/>
          <w:color w:val="0B0B0B"/>
          <w:sz w:val="20"/>
          <w:szCs w:val="20"/>
          <w:lang w:eastAsia="en-GB"/>
        </w:rPr>
        <w:t>{"@type": "Organization", "name": "HM Land Registry"}</w:t>
      </w:r>
      <w:r w:rsidRPr="0097421E">
        <w:rPr>
          <w:rFonts w:ascii="Segoe UI" w:eastAsia="Times New Roman" w:hAnsi="Segoe UI" w:cs="Segoe UI"/>
          <w:color w:val="0B0B0B"/>
          <w:sz w:val="21"/>
          <w:szCs w:val="21"/>
          <w:lang w:eastAsia="en-GB"/>
        </w:rPr>
        <w:t> with no </w:t>
      </w:r>
      <w:r w:rsidRPr="0097421E">
        <w:rPr>
          <w:rFonts w:ascii="Courier New" w:eastAsia="Times New Roman" w:hAnsi="Courier New" w:cs="Courier New"/>
          <w:color w:val="0B0B0B"/>
          <w:sz w:val="20"/>
          <w:szCs w:val="20"/>
          <w:lang w:eastAsia="en-GB"/>
        </w:rPr>
        <w:t>@id</w:t>
      </w:r>
      <w:r w:rsidRPr="0097421E">
        <w:rPr>
          <w:rFonts w:ascii="Segoe UI" w:eastAsia="Times New Roman" w:hAnsi="Segoe UI" w:cs="Segoe UI"/>
          <w:color w:val="0B0B0B"/>
          <w:sz w:val="21"/>
          <w:szCs w:val="21"/>
          <w:lang w:eastAsia="en-GB"/>
        </w:rPr>
        <w:t>. No GOV.UK organisation URI, no </w:t>
      </w:r>
      <w:r w:rsidRPr="0097421E">
        <w:rPr>
          <w:rFonts w:ascii="Courier New" w:eastAsia="Times New Roman" w:hAnsi="Courier New" w:cs="Courier New"/>
          <w:color w:val="0B0B0B"/>
          <w:sz w:val="20"/>
          <w:szCs w:val="20"/>
          <w:lang w:eastAsia="en-GB"/>
        </w:rPr>
        <w:t>org.uk</w:t>
      </w:r>
      <w:r w:rsidRPr="0097421E">
        <w:rPr>
          <w:rFonts w:ascii="Segoe UI" w:eastAsia="Times New Roman" w:hAnsi="Segoe UI" w:cs="Segoe UI"/>
          <w:color w:val="0B0B0B"/>
          <w:sz w:val="21"/>
          <w:szCs w:val="21"/>
          <w:lang w:eastAsia="en-GB"/>
        </w:rPr>
        <w:t xml:space="preserve"> register ID, no </w:t>
      </w:r>
      <w:r w:rsidRPr="0097421E">
        <w:rPr>
          <w:rFonts w:ascii="Segoe UI" w:eastAsia="Times New Roman" w:hAnsi="Segoe UI" w:cs="Segoe UI"/>
          <w:color w:val="0B0B0B"/>
          <w:sz w:val="21"/>
          <w:szCs w:val="21"/>
          <w:lang w:eastAsia="en-GB"/>
        </w:rPr>
        <w:lastRenderedPageBreak/>
        <w:t>Wikidata. Nothing can join this bundle to another on publisher identity — which is the entire point of a federated registry.</w:t>
      </w:r>
    </w:p>
    <w:p w14:paraId="6322D544"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The declared identity namespace is unused. </w:t>
      </w:r>
      <w:r w:rsidRPr="0097421E">
        <w:rPr>
          <w:rFonts w:ascii="inherit" w:eastAsia="Times New Roman" w:hAnsi="inherit" w:cs="Courier New"/>
          <w:color w:val="184F95"/>
          <w:sz w:val="20"/>
          <w:szCs w:val="20"/>
          <w:lang w:eastAsia="en-GB"/>
        </w:rPr>
        <w:t>docs/architecture.md:126-128</w:t>
      </w:r>
      <w:r w:rsidRPr="0097421E">
        <w:rPr>
          <w:rFonts w:ascii="Segoe UI" w:eastAsia="Times New Roman" w:hAnsi="Segoe UI" w:cs="Segoe UI"/>
          <w:color w:val="0B0B0B"/>
          <w:sz w:val="21"/>
          <w:szCs w:val="21"/>
          <w:lang w:eastAsia="en-GB"/>
        </w:rPr>
        <w:t> declares </w:t>
      </w:r>
      <w:r w:rsidRPr="0097421E">
        <w:rPr>
          <w:rFonts w:ascii="Courier New" w:eastAsia="Times New Roman" w:hAnsi="Courier New" w:cs="Courier New"/>
          <w:color w:val="0B0B0B"/>
          <w:sz w:val="20"/>
          <w:szCs w:val="20"/>
          <w:lang w:eastAsia="en-GB"/>
        </w:rPr>
        <w:t>https://chris-page-gov.github.io/okf-LandRegistry/id/</w:t>
      </w:r>
      <w:r w:rsidRPr="0097421E">
        <w:rPr>
          <w:rFonts w:ascii="Segoe UI" w:eastAsia="Times New Roman" w:hAnsi="Segoe UI" w:cs="Segoe UI"/>
          <w:color w:val="0B0B0B"/>
          <w:sz w:val="21"/>
          <w:szCs w:val="21"/>
          <w:lang w:eastAsia="en-GB"/>
        </w:rPr>
        <w:t> as canonical and says </w:t>
      </w:r>
      <w:r w:rsidRPr="0097421E">
        <w:rPr>
          <w:rFonts w:ascii="Courier New" w:eastAsia="Times New Roman" w:hAnsi="Courier New" w:cs="Courier New"/>
          <w:color w:val="0B0B0B"/>
          <w:sz w:val="20"/>
          <w:szCs w:val="20"/>
          <w:lang w:eastAsia="en-GB"/>
        </w:rPr>
        <w:t>DEC-RELEASE</w:t>
      </w:r>
      <w:r w:rsidRPr="0097421E">
        <w:rPr>
          <w:rFonts w:ascii="Segoe UI" w:eastAsia="Times New Roman" w:hAnsi="Segoe UI" w:cs="Segoe UI"/>
          <w:color w:val="0B0B0B"/>
          <w:sz w:val="21"/>
          <w:szCs w:val="21"/>
          <w:lang w:eastAsia="en-GB"/>
        </w:rPr>
        <w:t> binds it to the approved digest. Zero occurrences in </w:t>
      </w:r>
      <w:r w:rsidRPr="0097421E">
        <w:rPr>
          <w:rFonts w:ascii="Courier New" w:eastAsia="Times New Roman" w:hAnsi="Courier New" w:cs="Courier New"/>
          <w:color w:val="0B0B0B"/>
          <w:sz w:val="20"/>
          <w:szCs w:val="20"/>
          <w:lang w:eastAsia="en-GB"/>
        </w:rPr>
        <w:t>okf-bundle.jsonld</w:t>
      </w:r>
      <w:r w:rsidRPr="0097421E">
        <w:rPr>
          <w:rFonts w:ascii="Segoe UI" w:eastAsia="Times New Roman" w:hAnsi="Segoe UI" w:cs="Segoe UI"/>
          <w:color w:val="0B0B0B"/>
          <w:sz w:val="21"/>
          <w:szCs w:val="21"/>
          <w:lang w:eastAsia="en-GB"/>
        </w:rPr>
        <w:t> or </w:t>
      </w:r>
      <w:r w:rsidRPr="0097421E">
        <w:rPr>
          <w:rFonts w:ascii="Courier New" w:eastAsia="Times New Roman" w:hAnsi="Courier New" w:cs="Courier New"/>
          <w:color w:val="0B0B0B"/>
          <w:sz w:val="20"/>
          <w:szCs w:val="20"/>
          <w:lang w:eastAsia="en-GB"/>
        </w:rPr>
        <w:t>catalogue.json</w:t>
      </w:r>
      <w:r w:rsidRPr="0097421E">
        <w:rPr>
          <w:rFonts w:ascii="Segoe UI" w:eastAsia="Times New Roman" w:hAnsi="Segoe UI" w:cs="Segoe UI"/>
          <w:color w:val="0B0B0B"/>
          <w:sz w:val="21"/>
          <w:szCs w:val="21"/>
          <w:lang w:eastAsia="en-GB"/>
        </w:rPr>
        <w:t> — </w:t>
      </w:r>
      <w:r w:rsidRPr="0097421E">
        <w:rPr>
          <w:rFonts w:ascii="Courier New" w:eastAsia="Times New Roman" w:hAnsi="Courier New" w:cs="Courier New"/>
          <w:color w:val="0B0B0B"/>
          <w:sz w:val="20"/>
          <w:szCs w:val="20"/>
          <w:lang w:eastAsia="en-GB"/>
        </w:rPr>
        <w:t>@id</w:t>
      </w:r>
      <w:r w:rsidRPr="0097421E">
        <w:rPr>
          <w:rFonts w:ascii="Segoe UI" w:eastAsia="Times New Roman" w:hAnsi="Segoe UI" w:cs="Segoe UI"/>
          <w:color w:val="0B0B0B"/>
          <w:sz w:val="21"/>
          <w:szCs w:val="21"/>
          <w:lang w:eastAsia="en-GB"/>
        </w:rPr>
        <w:t> is just the source URL. So </w:t>
      </w:r>
      <w:r w:rsidRPr="0097421E">
        <w:rPr>
          <w:rFonts w:ascii="Courier New" w:eastAsia="Times New Roman" w:hAnsi="Courier New" w:cs="Courier New"/>
          <w:color w:val="0B0B0B"/>
          <w:sz w:val="20"/>
          <w:szCs w:val="20"/>
          <w:lang w:eastAsia="en-GB"/>
        </w:rPr>
        <w:t>id/</w:t>
      </w:r>
      <w:r w:rsidRPr="0097421E">
        <w:rPr>
          <w:rFonts w:ascii="Segoe UI" w:eastAsia="Times New Roman" w:hAnsi="Segoe UI" w:cs="Segoe UI"/>
          <w:color w:val="0B0B0B"/>
          <w:sz w:val="21"/>
          <w:szCs w:val="21"/>
          <w:lang w:eastAsia="en-GB"/>
        </w:rPr>
        <w:t> is a namespace that was reserved and never minted.</w:t>
      </w:r>
    </w:p>
    <w:p w14:paraId="4A5C7CED"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No typed entities. </w:t>
      </w:r>
      <w:r w:rsidRPr="0097421E">
        <w:rPr>
          <w:rFonts w:ascii="inherit" w:eastAsia="Times New Roman" w:hAnsi="inherit" w:cs="Courier New"/>
          <w:color w:val="184F95"/>
          <w:sz w:val="20"/>
          <w:szCs w:val="20"/>
          <w:lang w:eastAsia="en-GB"/>
        </w:rPr>
        <w:t>docs/metadata-model.md:19-32</w:t>
      </w:r>
      <w:r w:rsidRPr="0097421E">
        <w:rPr>
          <w:rFonts w:ascii="Segoe UI" w:eastAsia="Times New Roman" w:hAnsi="Segoe UI" w:cs="Segoe UI"/>
          <w:color w:val="0B0B0B"/>
          <w:sz w:val="21"/>
          <w:szCs w:val="21"/>
          <w:lang w:eastAsia="en-GB"/>
        </w:rPr>
        <w:t> tables </w:t>
      </w:r>
      <w:r w:rsidRPr="0097421E">
        <w:rPr>
          <w:rFonts w:ascii="Courier New" w:eastAsia="Times New Roman" w:hAnsi="Courier New" w:cs="Courier New"/>
          <w:color w:val="0B0B0B"/>
          <w:sz w:val="20"/>
          <w:szCs w:val="20"/>
          <w:lang w:eastAsia="en-GB"/>
        </w:rPr>
        <w:t>Document</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Dataset</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Distribution</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Service</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ApiProduct</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Repository</w:t>
      </w:r>
      <w:r w:rsidRPr="0097421E">
        <w:rPr>
          <w:rFonts w:ascii="Segoe UI" w:eastAsia="Times New Roman" w:hAnsi="Segoe UI" w:cs="Segoe UI"/>
          <w:color w:val="0B0B0B"/>
          <w:sz w:val="21"/>
          <w:szCs w:val="21"/>
          <w:lang w:eastAsia="en-GB"/>
        </w:rPr>
        <w:t> as core entities with distinct essential properties. The implementation is one flat table: all 2,202 records have exactly the same 34 fields. There is no </w:t>
      </w:r>
      <w:r w:rsidRPr="0097421E">
        <w:rPr>
          <w:rFonts w:ascii="Courier New" w:eastAsia="Times New Roman" w:hAnsi="Courier New" w:cs="Courier New"/>
          <w:color w:val="0B0B0B"/>
          <w:sz w:val="20"/>
          <w:szCs w:val="20"/>
          <w:lang w:eastAsia="en-GB"/>
        </w:rPr>
        <w:t>Distribution</w:t>
      </w:r>
      <w:r w:rsidRPr="0097421E">
        <w:rPr>
          <w:rFonts w:ascii="Segoe UI" w:eastAsia="Times New Roman" w:hAnsi="Segoe UI" w:cs="Segoe UI"/>
          <w:color w:val="0B0B0B"/>
          <w:sz w:val="21"/>
          <w:szCs w:val="21"/>
          <w:lang w:eastAsia="en-GB"/>
        </w:rPr>
        <w:t> anywhere — a news story carries </w:t>
      </w:r>
      <w:r w:rsidRPr="0097421E">
        <w:rPr>
          <w:rFonts w:ascii="Courier New" w:eastAsia="Times New Roman" w:hAnsi="Courier New" w:cs="Courier New"/>
          <w:color w:val="0B0B0B"/>
          <w:sz w:val="20"/>
          <w:szCs w:val="20"/>
          <w:lang w:eastAsia="en-GB"/>
        </w:rPr>
        <w:t>cadence</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licence</w:t>
      </w:r>
      <w:r w:rsidRPr="0097421E">
        <w:rPr>
          <w:rFonts w:ascii="Segoe UI" w:eastAsia="Times New Roman" w:hAnsi="Segoe UI" w:cs="Segoe UI"/>
          <w:color w:val="0B0B0B"/>
          <w:sz w:val="21"/>
          <w:szCs w:val="21"/>
          <w:lang w:eastAsia="en-GB"/>
        </w:rPr>
        <w:t> and </w:t>
      </w:r>
      <w:r w:rsidRPr="0097421E">
        <w:rPr>
          <w:rFonts w:ascii="Courier New" w:eastAsia="Times New Roman" w:hAnsi="Courier New" w:cs="Courier New"/>
          <w:color w:val="0B0B0B"/>
          <w:sz w:val="20"/>
          <w:szCs w:val="20"/>
          <w:lang w:eastAsia="en-GB"/>
        </w:rPr>
        <w:t>audience</w:t>
      </w:r>
      <w:r w:rsidRPr="0097421E">
        <w:rPr>
          <w:rFonts w:ascii="Segoe UI" w:eastAsia="Times New Roman" w:hAnsi="Segoe UI" w:cs="Segoe UI"/>
          <w:color w:val="0B0B0B"/>
          <w:sz w:val="21"/>
          <w:szCs w:val="21"/>
          <w:lang w:eastAsia="en-GB"/>
        </w:rPr>
        <w:t> just like a dataset does. </w:t>
      </w:r>
      <w:r w:rsidRPr="0097421E">
        <w:rPr>
          <w:rFonts w:ascii="Courier New" w:eastAsia="Times New Roman" w:hAnsi="Courier New" w:cs="Courier New"/>
          <w:color w:val="0B0B0B"/>
          <w:sz w:val="20"/>
          <w:szCs w:val="20"/>
          <w:lang w:eastAsia="en-GB"/>
        </w:rPr>
        <w:t>metadata-model.md:120-125</w:t>
      </w:r>
      <w:r w:rsidRPr="0097421E">
        <w:rPr>
          <w:rFonts w:ascii="Segoe UI" w:eastAsia="Times New Roman" w:hAnsi="Segoe UI" w:cs="Segoe UI"/>
          <w:color w:val="0B0B0B"/>
          <w:sz w:val="21"/>
          <w:szCs w:val="21"/>
          <w:lang w:eastAsia="en-GB"/>
        </w:rPr>
        <w:t> insists a landing page, full file, change-only file, API and spec "are different objects"; the schema cannot express that.</w:t>
      </w:r>
    </w:p>
    <w:p w14:paraId="5931672A"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Relationships are one predicate. </w:t>
      </w:r>
      <w:r w:rsidRPr="0097421E">
        <w:rPr>
          <w:rFonts w:ascii="Courier New" w:eastAsia="Times New Roman" w:hAnsi="Courier New" w:cs="Courier New"/>
          <w:color w:val="0B0B0B"/>
          <w:sz w:val="20"/>
          <w:szCs w:val="20"/>
          <w:lang w:eastAsia="en-GB"/>
        </w:rPr>
        <w:t>metadata-model.md:105-113</w:t>
      </w:r>
      <w:r w:rsidRPr="0097421E">
        <w:rPr>
          <w:rFonts w:ascii="Segoe UI" w:eastAsia="Times New Roman" w:hAnsi="Segoe UI" w:cs="Segoe UI"/>
          <w:color w:val="0B0B0B"/>
          <w:sz w:val="21"/>
          <w:szCs w:val="21"/>
          <w:lang w:eastAsia="en-GB"/>
        </w:rPr>
        <w:t> lists nine expected predicates (</w:t>
      </w:r>
      <w:r w:rsidRPr="0097421E">
        <w:rPr>
          <w:rFonts w:ascii="Courier New" w:eastAsia="Times New Roman" w:hAnsi="Courier New" w:cs="Courier New"/>
          <w:color w:val="0B0B0B"/>
          <w:sz w:val="20"/>
          <w:szCs w:val="20"/>
          <w:lang w:eastAsia="en-GB"/>
        </w:rPr>
        <w:t>has_distribution</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supersedes</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documents_service</w:t>
      </w:r>
      <w:r w:rsidRPr="0097421E">
        <w:rPr>
          <w:rFonts w:ascii="Segoe UI" w:eastAsia="Times New Roman" w:hAnsi="Segoe UI" w:cs="Segoe UI"/>
          <w:color w:val="0B0B0B"/>
          <w:sz w:val="21"/>
          <w:szCs w:val="21"/>
          <w:lang w:eastAsia="en-GB"/>
        </w:rPr>
        <w:t>, …). The generated graph has 2,202 relationships, all </w:t>
      </w:r>
      <w:r w:rsidRPr="0097421E">
        <w:rPr>
          <w:rFonts w:ascii="Courier New" w:eastAsia="Times New Roman" w:hAnsi="Courier New" w:cs="Courier New"/>
          <w:color w:val="0B0B0B"/>
          <w:sz w:val="20"/>
          <w:szCs w:val="20"/>
          <w:lang w:eastAsia="en-GB"/>
        </w:rPr>
        <w:t>published_by</w:t>
      </w:r>
      <w:r w:rsidRPr="0097421E">
        <w:rPr>
          <w:rFonts w:ascii="Segoe UI" w:eastAsia="Times New Roman" w:hAnsi="Segoe UI" w:cs="Segoe UI"/>
          <w:color w:val="0B0B0B"/>
          <w:sz w:val="21"/>
          <w:szCs w:val="21"/>
          <w:lang w:eastAsia="en-GB"/>
        </w:rPr>
        <w:t> — exactly one per record, a projection of the publisher string. To be fair the doc says "expected examples," but the shipped relationship graph carries no information not already in the record.</w:t>
      </w:r>
    </w:p>
    <w:p w14:paraId="574F92A5" w14:textId="77777777" w:rsidR="0097421E" w:rsidRPr="0097421E" w:rsidRDefault="00E778EB" w:rsidP="0097421E">
      <w:pPr>
        <w:shd w:val="clear" w:color="auto" w:fill="FCFCFB"/>
        <w:rPr>
          <w:rFonts w:ascii="Segoe UI" w:eastAsia="Times New Roman" w:hAnsi="Segoe UI" w:cs="Segoe UI"/>
          <w:color w:val="0B0B0B"/>
          <w:sz w:val="21"/>
          <w:szCs w:val="21"/>
          <w:lang w:eastAsia="en-GB"/>
        </w:rPr>
      </w:pPr>
      <w:r w:rsidRPr="00E778EB">
        <w:rPr>
          <w:rFonts w:ascii="Segoe UI" w:eastAsia="Times New Roman" w:hAnsi="Segoe UI" w:cs="Segoe UI"/>
          <w:noProof/>
          <w:color w:val="0B0B0B"/>
          <w:sz w:val="21"/>
          <w:szCs w:val="21"/>
          <w:lang w:eastAsia="en-GB"/>
          <w14:ligatures w14:val="standardContextual"/>
        </w:rPr>
        <w:pict w14:anchorId="60116E61">
          <v:rect id="_x0000_i1027" style="width:0;height:0" o:hralign="center" o:hrstd="t" o:hr="t" fillcolor="#a0a0a0" stroked="f"/>
        </w:pict>
      </w:r>
    </w:p>
    <w:p w14:paraId="22B99C5C" w14:textId="77777777" w:rsidR="0097421E" w:rsidRPr="0097421E" w:rsidRDefault="0097421E" w:rsidP="0097421E">
      <w:pPr>
        <w:shd w:val="clear" w:color="auto" w:fill="FCFCFB"/>
        <w:outlineLvl w:val="1"/>
        <w:rPr>
          <w:rFonts w:ascii="Segoe UI" w:eastAsia="Times New Roman" w:hAnsi="Segoe UI" w:cs="Segoe UI"/>
          <w:color w:val="6D6B67"/>
          <w:szCs w:val="22"/>
          <w:lang w:eastAsia="en-GB"/>
        </w:rPr>
      </w:pPr>
      <w:r w:rsidRPr="0097421E">
        <w:rPr>
          <w:rFonts w:ascii="Segoe UI" w:eastAsia="Times New Roman" w:hAnsi="Segoe UI" w:cs="Segoe UI"/>
          <w:color w:val="6D6B67"/>
          <w:szCs w:val="22"/>
          <w:lang w:eastAsia="en-GB"/>
        </w:rPr>
        <w:t>Unclear</w:t>
      </w:r>
    </w:p>
    <w:p w14:paraId="45B035C9"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Two search systems, unexplained. </w:t>
      </w:r>
      <w:r w:rsidRPr="0097421E">
        <w:rPr>
          <w:rFonts w:ascii="Courier New" w:eastAsia="Times New Roman" w:hAnsi="Courier New" w:cs="Courier New"/>
          <w:color w:val="0B0B0B"/>
          <w:sz w:val="20"/>
          <w:szCs w:val="20"/>
          <w:lang w:eastAsia="en-GB"/>
        </w:rPr>
        <w:t>entrypoints</w:t>
      </w:r>
      <w:r w:rsidRPr="0097421E">
        <w:rPr>
          <w:rFonts w:ascii="Segoe UI" w:eastAsia="Times New Roman" w:hAnsi="Segoe UI" w:cs="Segoe UI"/>
          <w:color w:val="0B0B0B"/>
          <w:sz w:val="21"/>
          <w:szCs w:val="21"/>
          <w:lang w:eastAsia="en-GB"/>
        </w:rPr>
        <w:t> has both </w:t>
      </w:r>
      <w:r w:rsidRPr="0097421E">
        <w:rPr>
          <w:rFonts w:ascii="Courier New" w:eastAsia="Times New Roman" w:hAnsi="Courier New" w:cs="Courier New"/>
          <w:color w:val="0B0B0B"/>
          <w:sz w:val="20"/>
          <w:szCs w:val="20"/>
          <w:lang w:eastAsia="en-GB"/>
        </w:rPr>
        <w:t>search_manifest</w:t>
      </w:r>
      <w:r w:rsidRPr="0097421E">
        <w:rPr>
          <w:rFonts w:ascii="Segoe UI" w:eastAsia="Times New Roman" w:hAnsi="Segoe UI" w:cs="Segoe UI"/>
          <w:color w:val="0B0B0B"/>
          <w:sz w:val="21"/>
          <w:szCs w:val="21"/>
          <w:lang w:eastAsia="en-GB"/>
        </w:rPr>
        <w:t> → </w:t>
      </w:r>
      <w:r w:rsidRPr="0097421E">
        <w:rPr>
          <w:rFonts w:ascii="inherit" w:eastAsia="Times New Roman" w:hAnsi="inherit" w:cs="Courier New"/>
          <w:color w:val="184F95"/>
          <w:sz w:val="20"/>
          <w:szCs w:val="20"/>
          <w:lang w:eastAsia="en-GB"/>
        </w:rPr>
        <w:t>data/explorer/search/manifest.json</w:t>
      </w:r>
      <w:r w:rsidRPr="0097421E">
        <w:rPr>
          <w:rFonts w:ascii="Segoe UI" w:eastAsia="Times New Roman" w:hAnsi="Segoe UI" w:cs="Segoe UI"/>
          <w:color w:val="0B0B0B"/>
          <w:sz w:val="21"/>
          <w:szCs w:val="21"/>
          <w:lang w:eastAsia="en-GB"/>
        </w:rPr>
        <w:t> and </w:t>
      </w:r>
      <w:r w:rsidRPr="0097421E">
        <w:rPr>
          <w:rFonts w:ascii="Courier New" w:eastAsia="Times New Roman" w:hAnsi="Courier New" w:cs="Courier New"/>
          <w:color w:val="0B0B0B"/>
          <w:sz w:val="20"/>
          <w:szCs w:val="20"/>
          <w:lang w:eastAsia="en-GB"/>
        </w:rPr>
        <w:t>catalogue_search_manifest</w:t>
      </w:r>
      <w:r w:rsidRPr="0097421E">
        <w:rPr>
          <w:rFonts w:ascii="Segoe UI" w:eastAsia="Times New Roman" w:hAnsi="Segoe UI" w:cs="Segoe UI"/>
          <w:color w:val="0B0B0B"/>
          <w:sz w:val="21"/>
          <w:szCs w:val="21"/>
          <w:lang w:eastAsia="en-GB"/>
        </w:rPr>
        <w:t> → </w:t>
      </w:r>
      <w:r w:rsidRPr="0097421E">
        <w:rPr>
          <w:rFonts w:ascii="inherit" w:eastAsia="Times New Roman" w:hAnsi="inherit" w:cs="Courier New"/>
          <w:color w:val="184F95"/>
          <w:sz w:val="20"/>
          <w:szCs w:val="20"/>
          <w:lang w:eastAsia="en-GB"/>
        </w:rPr>
        <w:t>data/search/manifest.json</w:t>
      </w:r>
      <w:r w:rsidRPr="0097421E">
        <w:rPr>
          <w:rFonts w:ascii="Segoe UI" w:eastAsia="Times New Roman" w:hAnsi="Segoe UI" w:cs="Segoe UI"/>
          <w:color w:val="0B0B0B"/>
          <w:sz w:val="21"/>
          <w:szCs w:val="21"/>
          <w:lang w:eastAsia="en-GB"/>
        </w:rPr>
        <w:t>, with different schemas (</w:t>
      </w:r>
      <w:r w:rsidRPr="0097421E">
        <w:rPr>
          <w:rFonts w:ascii="Courier New" w:eastAsia="Times New Roman" w:hAnsi="Courier New" w:cs="Courier New"/>
          <w:color w:val="0B0B0B"/>
          <w:sz w:val="20"/>
          <w:szCs w:val="20"/>
          <w:lang w:eastAsia="en-GB"/>
        </w:rPr>
        <w:t>okf-static-search.v*</w:t>
      </w:r>
      <w:r w:rsidRPr="0097421E">
        <w:rPr>
          <w:rFonts w:ascii="Segoe UI" w:eastAsia="Times New Roman" w:hAnsi="Segoe UI" w:cs="Segoe UI"/>
          <w:color w:val="0B0B0B"/>
          <w:sz w:val="21"/>
          <w:szCs w:val="21"/>
          <w:lang w:eastAsia="en-GB"/>
        </w:rPr>
        <w:t> vs </w:t>
      </w:r>
      <w:r w:rsidRPr="0097421E">
        <w:rPr>
          <w:rFonts w:ascii="Courier New" w:eastAsia="Times New Roman" w:hAnsi="Courier New" w:cs="Courier New"/>
          <w:color w:val="0B0B0B"/>
          <w:sz w:val="20"/>
          <w:szCs w:val="20"/>
          <w:lang w:eastAsia="en-GB"/>
        </w:rPr>
        <w:t>okf-hmlr-search-index.v1</w:t>
      </w:r>
      <w:r w:rsidRPr="0097421E">
        <w:rPr>
          <w:rFonts w:ascii="Segoe UI" w:eastAsia="Times New Roman" w:hAnsi="Segoe UI" w:cs="Segoe UI"/>
          <w:color w:val="0B0B0B"/>
          <w:sz w:val="21"/>
          <w:szCs w:val="21"/>
          <w:lang w:eastAsia="en-GB"/>
        </w:rPr>
        <w:t>). The consumer lock calls the second a </w:t>
      </w:r>
      <w:r w:rsidRPr="0097421E">
        <w:rPr>
          <w:rFonts w:ascii="Courier New" w:eastAsia="Times New Roman" w:hAnsi="Courier New" w:cs="Courier New"/>
          <w:color w:val="0B0B0B"/>
          <w:sz w:val="20"/>
          <w:szCs w:val="20"/>
          <w:lang w:eastAsia="en-GB"/>
        </w:rPr>
        <w:t>separate_non_runtime_entrypoint</w:t>
      </w:r>
      <w:r w:rsidRPr="0097421E">
        <w:rPr>
          <w:rFonts w:ascii="Segoe UI" w:eastAsia="Times New Roman" w:hAnsi="Segoe UI" w:cs="Segoe UI"/>
          <w:color w:val="0B0B0B"/>
          <w:sz w:val="21"/>
          <w:szCs w:val="21"/>
          <w:lang w:eastAsia="en-GB"/>
        </w:rPr>
        <w:t>, but no doc says which one a consumer should use or why both ship.</w:t>
      </w:r>
    </w:p>
    <w:p w14:paraId="140C3AFC"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Two ID schemes. The catalogue uses </w:t>
      </w:r>
      <w:r w:rsidRPr="0097421E">
        <w:rPr>
          <w:rFonts w:ascii="Courier New" w:eastAsia="Times New Roman" w:hAnsi="Courier New" w:cs="Courier New"/>
          <w:color w:val="0B0B0B"/>
          <w:sz w:val="20"/>
          <w:szCs w:val="20"/>
          <w:lang w:eastAsia="en-GB"/>
        </w:rPr>
        <w:t>github:LandRegistry/.github</w:t>
      </w:r>
      <w:r w:rsidRPr="0097421E">
        <w:rPr>
          <w:rFonts w:ascii="Segoe UI" w:eastAsia="Times New Roman" w:hAnsi="Segoe UI" w:cs="Segoe UI"/>
          <w:color w:val="0B0B0B"/>
          <w:sz w:val="21"/>
          <w:szCs w:val="21"/>
          <w:lang w:eastAsia="en-GB"/>
        </w:rPr>
        <w:t>; the Explorer plane uses </w:t>
      </w:r>
      <w:r w:rsidRPr="0097421E">
        <w:rPr>
          <w:rFonts w:ascii="Courier New" w:eastAsia="Times New Roman" w:hAnsi="Courier New" w:cs="Courier New"/>
          <w:color w:val="0B0B0B"/>
          <w:sz w:val="20"/>
          <w:szCs w:val="20"/>
          <w:lang w:eastAsia="en-GB"/>
        </w:rPr>
        <w:t>dataset/record-cadc280d5b30fef8eaf81100</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metadata-model.md:8</w:t>
      </w:r>
      <w:r w:rsidRPr="0097421E">
        <w:rPr>
          <w:rFonts w:ascii="Segoe UI" w:eastAsia="Times New Roman" w:hAnsi="Segoe UI" w:cs="Segoe UI"/>
          <w:color w:val="0B0B0B"/>
          <w:sz w:val="21"/>
          <w:szCs w:val="21"/>
          <w:lang w:eastAsia="en-GB"/>
        </w:rPr>
        <w:t> says "preserve source-native identifiers" and </w:t>
      </w:r>
      <w:r w:rsidRPr="0097421E">
        <w:rPr>
          <w:rFonts w:ascii="Courier New" w:eastAsia="Times New Roman" w:hAnsi="Courier New" w:cs="Courier New"/>
          <w:color w:val="0B0B0B"/>
          <w:sz w:val="20"/>
          <w:szCs w:val="20"/>
          <w:lang w:eastAsia="en-GB"/>
        </w:rPr>
        <w:t>architecture.md:116</w:t>
      </w:r>
      <w:r w:rsidRPr="0097421E">
        <w:rPr>
          <w:rFonts w:ascii="Segoe UI" w:eastAsia="Times New Roman" w:hAnsi="Segoe UI" w:cs="Segoe UI"/>
          <w:color w:val="0B0B0B"/>
          <w:sz w:val="21"/>
          <w:szCs w:val="21"/>
          <w:lang w:eastAsia="en-GB"/>
        </w:rPr>
        <w:t> repeats it. The opaque digest IDs are the ones a consumer actually navigates, and </w:t>
      </w:r>
      <w:r w:rsidRPr="0097421E">
        <w:rPr>
          <w:rFonts w:ascii="Courier New" w:eastAsia="Times New Roman" w:hAnsi="Courier New" w:cs="Courier New"/>
          <w:color w:val="0B0B0B"/>
          <w:sz w:val="20"/>
          <w:szCs w:val="20"/>
          <w:lang w:eastAsia="en-GB"/>
        </w:rPr>
        <w:t>publisher/HM Land Registry</w:t>
      </w:r>
      <w:r w:rsidRPr="0097421E">
        <w:rPr>
          <w:rFonts w:ascii="Segoe UI" w:eastAsia="Times New Roman" w:hAnsi="Segoe UI" w:cs="Segoe UI"/>
          <w:color w:val="0B0B0B"/>
          <w:sz w:val="21"/>
          <w:szCs w:val="21"/>
          <w:lang w:eastAsia="en-GB"/>
        </w:rPr>
        <w:t> uses a display label with a space as a key.</w:t>
      </w:r>
    </w:p>
    <w:p w14:paraId="343F9CA8"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Courier New" w:eastAsia="Times New Roman" w:hAnsi="Courier New" w:cs="Courier New"/>
          <w:color w:val="0B0B0B"/>
          <w:sz w:val="20"/>
          <w:szCs w:val="20"/>
          <w:lang w:eastAsia="en-GB"/>
        </w:rPr>
        <w:t>record_type</w:t>
      </w:r>
      <w:r w:rsidRPr="0097421E">
        <w:rPr>
          <w:rFonts w:ascii="Segoe UI" w:eastAsia="Times New Roman" w:hAnsi="Segoe UI" w:cs="Segoe UI"/>
          <w:color w:val="0B0B0B"/>
          <w:sz w:val="21"/>
          <w:szCs w:val="21"/>
          <w:lang w:eastAsia="en-GB"/>
        </w:rPr>
        <w:t> is called a controlled vocabulary but isn't one. </w:t>
      </w:r>
      <w:r w:rsidRPr="0097421E">
        <w:rPr>
          <w:rFonts w:ascii="Courier New" w:eastAsia="Times New Roman" w:hAnsi="Courier New" w:cs="Courier New"/>
          <w:color w:val="0B0B0B"/>
          <w:sz w:val="20"/>
          <w:szCs w:val="20"/>
          <w:lang w:eastAsia="en-GB"/>
        </w:rPr>
        <w:t>metadata-model.md:39</w:t>
      </w:r>
      <w:r w:rsidRPr="0097421E">
        <w:rPr>
          <w:rFonts w:ascii="Segoe UI" w:eastAsia="Times New Roman" w:hAnsi="Segoe UI" w:cs="Segoe UI"/>
          <w:color w:val="0B0B0B"/>
          <w:sz w:val="21"/>
          <w:szCs w:val="21"/>
          <w:lang w:eastAsia="en-GB"/>
        </w:rPr>
        <w:t> requires "</w:t>
      </w:r>
      <w:r w:rsidRPr="0097421E">
        <w:rPr>
          <w:rFonts w:ascii="Courier New" w:eastAsia="Times New Roman" w:hAnsi="Courier New" w:cs="Courier New"/>
          <w:color w:val="0B0B0B"/>
          <w:sz w:val="20"/>
          <w:szCs w:val="20"/>
          <w:lang w:eastAsia="en-GB"/>
        </w:rPr>
        <w:t>record_type</w:t>
      </w:r>
      <w:r w:rsidRPr="0097421E">
        <w:rPr>
          <w:rFonts w:ascii="Segoe UI" w:eastAsia="Times New Roman" w:hAnsi="Segoe UI" w:cs="Segoe UI"/>
          <w:color w:val="0B0B0B"/>
          <w:sz w:val="21"/>
          <w:szCs w:val="21"/>
          <w:lang w:eastAsia="en-GB"/>
        </w:rPr>
        <w:t> from a controlled vocabulary." There are 77 values in two conventions: GOV.UK-native snake_case passthrough (</w:t>
      </w:r>
      <w:r w:rsidRPr="0097421E">
        <w:rPr>
          <w:rFonts w:ascii="Courier New" w:eastAsia="Times New Roman" w:hAnsi="Courier New" w:cs="Courier New"/>
          <w:color w:val="0B0B0B"/>
          <w:sz w:val="20"/>
          <w:szCs w:val="20"/>
          <w:lang w:eastAsia="en-GB"/>
        </w:rPr>
        <w:t>news_story</w:t>
      </w:r>
      <w:r w:rsidRPr="0097421E">
        <w:rPr>
          <w:rFonts w:ascii="Segoe UI" w:eastAsia="Times New Roman" w:hAnsi="Segoe UI" w:cs="Segoe UI"/>
          <w:color w:val="0B0B0B"/>
          <w:sz w:val="21"/>
          <w:szCs w:val="21"/>
          <w:lang w:eastAsia="en-GB"/>
        </w:rPr>
        <w:t> 305, </w:t>
      </w:r>
      <w:r w:rsidRPr="0097421E">
        <w:rPr>
          <w:rFonts w:ascii="Courier New" w:eastAsia="Times New Roman" w:hAnsi="Courier New" w:cs="Courier New"/>
          <w:color w:val="0B0B0B"/>
          <w:sz w:val="20"/>
          <w:szCs w:val="20"/>
          <w:lang w:eastAsia="en-GB"/>
        </w:rPr>
        <w:t>press_release</w:t>
      </w:r>
      <w:r w:rsidRPr="0097421E">
        <w:rPr>
          <w:rFonts w:ascii="Segoe UI" w:eastAsia="Times New Roman" w:hAnsi="Segoe UI" w:cs="Segoe UI"/>
          <w:color w:val="0B0B0B"/>
          <w:sz w:val="21"/>
          <w:szCs w:val="21"/>
          <w:lang w:eastAsia="en-GB"/>
        </w:rPr>
        <w:t> 295, </w:t>
      </w:r>
      <w:r w:rsidRPr="0097421E">
        <w:rPr>
          <w:rFonts w:ascii="Courier New" w:eastAsia="Times New Roman" w:hAnsi="Courier New" w:cs="Courier New"/>
          <w:color w:val="0B0B0B"/>
          <w:sz w:val="20"/>
          <w:szCs w:val="20"/>
          <w:lang w:eastAsia="en-GB"/>
        </w:rPr>
        <w:t>detailed_guide</w:t>
      </w:r>
      <w:r w:rsidRPr="0097421E">
        <w:rPr>
          <w:rFonts w:ascii="Segoe UI" w:eastAsia="Times New Roman" w:hAnsi="Segoe UI" w:cs="Segoe UI"/>
          <w:color w:val="0B0B0B"/>
          <w:sz w:val="21"/>
          <w:szCs w:val="21"/>
          <w:lang w:eastAsia="en-GB"/>
        </w:rPr>
        <w:t> 141) and hand-coined kebab-case (</w:t>
      </w:r>
      <w:r w:rsidRPr="0097421E">
        <w:rPr>
          <w:rFonts w:ascii="Courier New" w:eastAsia="Times New Roman" w:hAnsi="Courier New" w:cs="Courier New"/>
          <w:color w:val="0B0B0B"/>
          <w:sz w:val="20"/>
          <w:szCs w:val="20"/>
          <w:lang w:eastAsia="en-GB"/>
        </w:rPr>
        <w:t>practice-guide</w:t>
      </w:r>
      <w:r w:rsidRPr="0097421E">
        <w:rPr>
          <w:rFonts w:ascii="Segoe UI" w:eastAsia="Times New Roman" w:hAnsi="Segoe UI" w:cs="Segoe UI"/>
          <w:color w:val="0B0B0B"/>
          <w:sz w:val="21"/>
          <w:szCs w:val="21"/>
          <w:lang w:eastAsia="en-GB"/>
        </w:rPr>
        <w:t> 1, </w:t>
      </w:r>
      <w:r w:rsidRPr="0097421E">
        <w:rPr>
          <w:rFonts w:ascii="Courier New" w:eastAsia="Times New Roman" w:hAnsi="Courier New" w:cs="Courier New"/>
          <w:color w:val="0B0B0B"/>
          <w:sz w:val="20"/>
          <w:szCs w:val="20"/>
          <w:lang w:eastAsia="en-GB"/>
        </w:rPr>
        <w:t>licensed-dataset</w:t>
      </w:r>
      <w:r w:rsidRPr="0097421E">
        <w:rPr>
          <w:rFonts w:ascii="Segoe UI" w:eastAsia="Times New Roman" w:hAnsi="Segoe UI" w:cs="Segoe UI"/>
          <w:color w:val="0B0B0B"/>
          <w:sz w:val="21"/>
          <w:szCs w:val="21"/>
          <w:lang w:eastAsia="en-GB"/>
        </w:rPr>
        <w:t> 2, </w:t>
      </w:r>
      <w:r w:rsidRPr="0097421E">
        <w:rPr>
          <w:rFonts w:ascii="Courier New" w:eastAsia="Times New Roman" w:hAnsi="Courier New" w:cs="Courier New"/>
          <w:color w:val="0B0B0B"/>
          <w:sz w:val="20"/>
          <w:szCs w:val="20"/>
          <w:lang w:eastAsia="en-GB"/>
        </w:rPr>
        <w:t>api-catalogue-record</w:t>
      </w:r>
      <w:r w:rsidRPr="0097421E">
        <w:rPr>
          <w:rFonts w:ascii="Segoe UI" w:eastAsia="Times New Roman" w:hAnsi="Segoe UI" w:cs="Segoe UI"/>
          <w:color w:val="0B0B0B"/>
          <w:sz w:val="21"/>
          <w:szCs w:val="21"/>
          <w:lang w:eastAsia="en-GB"/>
        </w:rPr>
        <w:t> 15), with no scheme discriminator and no crosswalk. "Guidance" fragments across </w:t>
      </w:r>
      <w:r w:rsidRPr="0097421E">
        <w:rPr>
          <w:rFonts w:ascii="Courier New" w:eastAsia="Times New Roman" w:hAnsi="Courier New" w:cs="Courier New"/>
          <w:color w:val="0B0B0B"/>
          <w:sz w:val="20"/>
          <w:szCs w:val="20"/>
          <w:lang w:eastAsia="en-GB"/>
        </w:rPr>
        <w:t>guidance</w:t>
      </w:r>
      <w:r w:rsidRPr="0097421E">
        <w:rPr>
          <w:rFonts w:ascii="Segoe UI" w:eastAsia="Times New Roman" w:hAnsi="Segoe UI" w:cs="Segoe UI"/>
          <w:color w:val="0B0B0B"/>
          <w:sz w:val="21"/>
          <w:szCs w:val="21"/>
          <w:lang w:eastAsia="en-GB"/>
        </w:rPr>
        <w:t> (125), </w:t>
      </w:r>
      <w:r w:rsidRPr="0097421E">
        <w:rPr>
          <w:rFonts w:ascii="Courier New" w:eastAsia="Times New Roman" w:hAnsi="Courier New" w:cs="Courier New"/>
          <w:color w:val="0B0B0B"/>
          <w:sz w:val="20"/>
          <w:szCs w:val="20"/>
          <w:lang w:eastAsia="en-GB"/>
        </w:rPr>
        <w:t>detailed_guide</w:t>
      </w:r>
      <w:r w:rsidRPr="0097421E">
        <w:rPr>
          <w:rFonts w:ascii="Segoe UI" w:eastAsia="Times New Roman" w:hAnsi="Segoe UI" w:cs="Segoe UI"/>
          <w:color w:val="0B0B0B"/>
          <w:sz w:val="21"/>
          <w:szCs w:val="21"/>
          <w:lang w:eastAsia="en-GB"/>
        </w:rPr>
        <w:t> (141), </w:t>
      </w:r>
      <w:r w:rsidRPr="0097421E">
        <w:rPr>
          <w:rFonts w:ascii="Courier New" w:eastAsia="Times New Roman" w:hAnsi="Courier New" w:cs="Courier New"/>
          <w:color w:val="0B0B0B"/>
          <w:sz w:val="20"/>
          <w:szCs w:val="20"/>
          <w:lang w:eastAsia="en-GB"/>
        </w:rPr>
        <w:t>guide</w:t>
      </w:r>
      <w:r w:rsidRPr="0097421E">
        <w:rPr>
          <w:rFonts w:ascii="Segoe UI" w:eastAsia="Times New Roman" w:hAnsi="Segoe UI" w:cs="Segoe UI"/>
          <w:color w:val="0B0B0B"/>
          <w:sz w:val="21"/>
          <w:szCs w:val="21"/>
          <w:lang w:eastAsia="en-GB"/>
        </w:rPr>
        <w:t> (10), plus four singletons. A user faceting on type sees a 77-item list where the concept they want is split five ways. Same for </w:t>
      </w:r>
      <w:r w:rsidRPr="0097421E">
        <w:rPr>
          <w:rFonts w:ascii="Courier New" w:eastAsia="Times New Roman" w:hAnsi="Courier New" w:cs="Courier New"/>
          <w:color w:val="0B0B0B"/>
          <w:sz w:val="20"/>
          <w:szCs w:val="20"/>
          <w:lang w:eastAsia="en-GB"/>
        </w:rPr>
        <w:t>licence</w:t>
      </w:r>
      <w:r w:rsidRPr="0097421E">
        <w:rPr>
          <w:rFonts w:ascii="Segoe UI" w:eastAsia="Times New Roman" w:hAnsi="Segoe UI" w:cs="Segoe UI"/>
          <w:color w:val="0B0B0B"/>
          <w:sz w:val="21"/>
          <w:szCs w:val="21"/>
          <w:lang w:eastAsia="en-GB"/>
        </w:rPr>
        <w:t> (45 free-text values) and </w:t>
      </w:r>
      <w:r w:rsidRPr="0097421E">
        <w:rPr>
          <w:rFonts w:ascii="Courier New" w:eastAsia="Times New Roman" w:hAnsi="Courier New" w:cs="Courier New"/>
          <w:color w:val="0B0B0B"/>
          <w:sz w:val="20"/>
          <w:szCs w:val="20"/>
          <w:lang w:eastAsia="en-GB"/>
        </w:rPr>
        <w:t>cadence</w:t>
      </w:r>
      <w:r w:rsidRPr="0097421E">
        <w:rPr>
          <w:rFonts w:ascii="Segoe UI" w:eastAsia="Times New Roman" w:hAnsi="Segoe UI" w:cs="Segoe UI"/>
          <w:color w:val="0B0B0B"/>
          <w:sz w:val="21"/>
          <w:szCs w:val="21"/>
          <w:lang w:eastAsia="en-GB"/>
        </w:rPr>
        <w:t> (49) — both listed in the consumer lock's </w:t>
      </w:r>
      <w:r w:rsidRPr="0097421E">
        <w:rPr>
          <w:rFonts w:ascii="Courier New" w:eastAsia="Times New Roman" w:hAnsi="Courier New" w:cs="Courier New"/>
          <w:color w:val="0B0B0B"/>
          <w:sz w:val="20"/>
          <w:szCs w:val="20"/>
          <w:lang w:eastAsia="en-GB"/>
        </w:rPr>
        <w:t>required_filter_keys</w:t>
      </w:r>
      <w:r w:rsidRPr="0097421E">
        <w:rPr>
          <w:rFonts w:ascii="Segoe UI" w:eastAsia="Times New Roman" w:hAnsi="Segoe UI" w:cs="Segoe UI"/>
          <w:color w:val="0B0B0B"/>
          <w:sz w:val="21"/>
          <w:szCs w:val="21"/>
          <w:lang w:eastAsia="en-GB"/>
        </w:rPr>
        <w:t>, so they will render as facets with dozens of singleton buckets.</w:t>
      </w:r>
    </w:p>
    <w:p w14:paraId="07699AF9"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The working tree is mid-flight. </w:t>
      </w:r>
      <w:r w:rsidRPr="0097421E">
        <w:rPr>
          <w:rFonts w:ascii="Courier New" w:eastAsia="Times New Roman" w:hAnsi="Courier New" w:cs="Courier New"/>
          <w:color w:val="0B0B0B"/>
          <w:sz w:val="20"/>
          <w:szCs w:val="20"/>
          <w:lang w:eastAsia="en-GB"/>
        </w:rPr>
        <w:t>bundle/data/explorer/</w:t>
      </w:r>
      <w:r w:rsidRPr="0097421E">
        <w:rPr>
          <w:rFonts w:ascii="Segoe UI" w:eastAsia="Times New Roman" w:hAnsi="Segoe UI" w:cs="Segoe UI"/>
          <w:color w:val="0B0B0B"/>
          <w:sz w:val="21"/>
          <w:szCs w:val="21"/>
          <w:lang w:eastAsia="en-GB"/>
        </w:rPr>
        <w:t> is untracked, </w:t>
      </w:r>
      <w:r w:rsidRPr="0097421E">
        <w:rPr>
          <w:rFonts w:ascii="inherit" w:eastAsia="Times New Roman" w:hAnsi="inherit" w:cs="Courier New"/>
          <w:color w:val="184F95"/>
          <w:sz w:val="20"/>
          <w:szCs w:val="20"/>
          <w:lang w:eastAsia="en-GB"/>
        </w:rPr>
        <w:t>scripts/build.py</w:t>
      </w:r>
      <w:r w:rsidRPr="0097421E">
        <w:rPr>
          <w:rFonts w:ascii="Segoe UI" w:eastAsia="Times New Roman" w:hAnsi="Segoe UI" w:cs="Segoe UI"/>
          <w:color w:val="0B0B0B"/>
          <w:sz w:val="21"/>
          <w:szCs w:val="21"/>
          <w:lang w:eastAsia="en-GB"/>
        </w:rPr>
        <w:t> is +697 lines, and </w:t>
      </w:r>
      <w:r w:rsidRPr="0097421E">
        <w:rPr>
          <w:rFonts w:ascii="Courier New" w:eastAsia="Times New Roman" w:hAnsi="Courier New" w:cs="Courier New"/>
          <w:color w:val="0B0B0B"/>
          <w:sz w:val="20"/>
          <w:szCs w:val="20"/>
          <w:lang w:eastAsia="en-GB"/>
        </w:rPr>
        <w:t>build-receipt.json</w:t>
      </w:r>
      <w:r w:rsidRPr="0097421E">
        <w:rPr>
          <w:rFonts w:ascii="Segoe UI" w:eastAsia="Times New Roman" w:hAnsi="Segoe UI" w:cs="Segoe UI"/>
          <w:color w:val="0B0B0B"/>
          <w:sz w:val="21"/>
          <w:szCs w:val="21"/>
          <w:lang w:eastAsia="en-GB"/>
        </w:rPr>
        <w:t> shows a new </w:t>
      </w:r>
      <w:r w:rsidRPr="0097421E">
        <w:rPr>
          <w:rFonts w:ascii="Courier New" w:eastAsia="Times New Roman" w:hAnsi="Courier New" w:cs="Courier New"/>
          <w:color w:val="0B0B0B"/>
          <w:sz w:val="20"/>
          <w:szCs w:val="20"/>
          <w:lang w:eastAsia="en-GB"/>
        </w:rPr>
        <w:t>builder_sha256</w:t>
      </w:r>
      <w:r w:rsidRPr="0097421E">
        <w:rPr>
          <w:rFonts w:ascii="Segoe UI" w:eastAsia="Times New Roman" w:hAnsi="Segoe UI" w:cs="Segoe UI"/>
          <w:color w:val="0B0B0B"/>
          <w:sz w:val="21"/>
          <w:szCs w:val="21"/>
          <w:lang w:eastAsia="en-GB"/>
        </w:rPr>
        <w:t>. But </w:t>
      </w:r>
      <w:r w:rsidRPr="0097421E">
        <w:rPr>
          <w:rFonts w:ascii="inherit" w:eastAsia="Times New Roman" w:hAnsi="inherit" w:cs="Courier New"/>
          <w:color w:val="184F95"/>
          <w:sz w:val="20"/>
          <w:szCs w:val="20"/>
          <w:lang w:eastAsia="en-GB"/>
        </w:rPr>
        <w:t>validation/release-record.json</w:t>
      </w:r>
      <w:r w:rsidRPr="0097421E">
        <w:rPr>
          <w:rFonts w:ascii="Segoe UI" w:eastAsia="Times New Roman" w:hAnsi="Segoe UI" w:cs="Segoe UI"/>
          <w:color w:val="0B0B0B"/>
          <w:sz w:val="21"/>
          <w:szCs w:val="21"/>
          <w:lang w:eastAsia="en-GB"/>
        </w:rPr>
        <w:t> is still bound to commit </w:t>
      </w:r>
      <w:r w:rsidRPr="0097421E">
        <w:rPr>
          <w:rFonts w:ascii="Courier New" w:eastAsia="Times New Roman" w:hAnsi="Courier New" w:cs="Courier New"/>
          <w:color w:val="0B0B0B"/>
          <w:sz w:val="20"/>
          <w:szCs w:val="20"/>
          <w:lang w:eastAsia="en-GB"/>
        </w:rPr>
        <w:t>edbe2cb</w:t>
      </w:r>
      <w:r w:rsidRPr="0097421E">
        <w:rPr>
          <w:rFonts w:ascii="Segoe UI" w:eastAsia="Times New Roman" w:hAnsi="Segoe UI" w:cs="Segoe UI"/>
          <w:color w:val="0B0B0B"/>
          <w:sz w:val="21"/>
          <w:szCs w:val="21"/>
          <w:lang w:eastAsia="en-GB"/>
        </w:rPr>
        <w:t> and </w:t>
      </w:r>
      <w:r w:rsidRPr="0097421E">
        <w:rPr>
          <w:rFonts w:ascii="Courier New" w:eastAsia="Times New Roman" w:hAnsi="Courier New" w:cs="Courier New"/>
          <w:color w:val="0B0B0B"/>
          <w:sz w:val="20"/>
          <w:szCs w:val="20"/>
          <w:lang w:eastAsia="en-GB"/>
        </w:rPr>
        <w:t>release_root_sha256: a3c15f0e…</w:t>
      </w:r>
      <w:r w:rsidRPr="0097421E">
        <w:rPr>
          <w:rFonts w:ascii="Segoe UI" w:eastAsia="Times New Roman" w:hAnsi="Segoe UI" w:cs="Segoe UI"/>
          <w:color w:val="0B0B0B"/>
          <w:sz w:val="21"/>
          <w:szCs w:val="21"/>
          <w:lang w:eastAsia="en-GB"/>
        </w:rPr>
        <w:t>. Nothing is wrong with work-in-progress — but </w:t>
      </w:r>
      <w:r w:rsidRPr="0097421E">
        <w:rPr>
          <w:rFonts w:ascii="inherit" w:eastAsia="Times New Roman" w:hAnsi="inherit" w:cs="Courier New"/>
          <w:color w:val="184F95"/>
          <w:sz w:val="20"/>
          <w:szCs w:val="20"/>
          <w:lang w:eastAsia="en-GB"/>
        </w:rPr>
        <w:t>docs/architecture.md</w:t>
      </w:r>
      <w:r w:rsidRPr="0097421E">
        <w:rPr>
          <w:rFonts w:ascii="Segoe UI" w:eastAsia="Times New Roman" w:hAnsi="Segoe UI" w:cs="Segoe UI"/>
          <w:color w:val="0B0B0B"/>
          <w:sz w:val="21"/>
          <w:szCs w:val="21"/>
          <w:lang w:eastAsia="en-GB"/>
        </w:rPr>
        <w:t> was updated to describe the new machinery in the present tense while its test doesn't exist, which is how claim drift starts.</w:t>
      </w:r>
    </w:p>
    <w:p w14:paraId="796AEFEF" w14:textId="77777777" w:rsidR="0097421E" w:rsidRPr="0097421E" w:rsidRDefault="00E778EB" w:rsidP="0097421E">
      <w:pPr>
        <w:shd w:val="clear" w:color="auto" w:fill="FCFCFB"/>
        <w:rPr>
          <w:rFonts w:ascii="Segoe UI" w:eastAsia="Times New Roman" w:hAnsi="Segoe UI" w:cs="Segoe UI"/>
          <w:color w:val="0B0B0B"/>
          <w:sz w:val="21"/>
          <w:szCs w:val="21"/>
          <w:lang w:eastAsia="en-GB"/>
        </w:rPr>
      </w:pPr>
      <w:r w:rsidRPr="00E778EB">
        <w:rPr>
          <w:rFonts w:ascii="Segoe UI" w:eastAsia="Times New Roman" w:hAnsi="Segoe UI" w:cs="Segoe UI"/>
          <w:noProof/>
          <w:color w:val="0B0B0B"/>
          <w:sz w:val="21"/>
          <w:szCs w:val="21"/>
          <w:lang w:eastAsia="en-GB"/>
          <w14:ligatures w14:val="standardContextual"/>
        </w:rPr>
        <w:pict w14:anchorId="14CBB78C">
          <v:rect id="_x0000_i1026" style="width:0;height:0" o:hralign="center" o:hrstd="t" o:hr="t" fillcolor="#a0a0a0" stroked="f"/>
        </w:pict>
      </w:r>
    </w:p>
    <w:p w14:paraId="1683ADD8" w14:textId="77777777" w:rsidR="0097421E" w:rsidRPr="0097421E" w:rsidRDefault="0097421E" w:rsidP="0097421E">
      <w:pPr>
        <w:shd w:val="clear" w:color="auto" w:fill="FCFCFB"/>
        <w:outlineLvl w:val="1"/>
        <w:rPr>
          <w:rFonts w:ascii="Segoe UI" w:eastAsia="Times New Roman" w:hAnsi="Segoe UI" w:cs="Segoe UI"/>
          <w:color w:val="6D6B67"/>
          <w:szCs w:val="22"/>
          <w:lang w:eastAsia="en-GB"/>
        </w:rPr>
      </w:pPr>
      <w:r w:rsidRPr="0097421E">
        <w:rPr>
          <w:rFonts w:ascii="Segoe UI" w:eastAsia="Times New Roman" w:hAnsi="Segoe UI" w:cs="Segoe UI"/>
          <w:color w:val="6D6B67"/>
          <w:szCs w:val="22"/>
          <w:lang w:eastAsia="en-GB"/>
        </w:rPr>
        <w:t>What I'd have done differently</w:t>
      </w:r>
    </w:p>
    <w:p w14:paraId="54B10146"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1. I'd make the semantic projection the governed artifact, not a decoration.</w:t>
      </w:r>
    </w:p>
    <w:p w14:paraId="258AB10C"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This is the central disagreement. You've built a rich model — </w:t>
      </w:r>
      <w:r w:rsidRPr="0097421E">
        <w:rPr>
          <w:rFonts w:ascii="Courier New" w:eastAsia="Times New Roman" w:hAnsi="Courier New" w:cs="Courier New"/>
          <w:color w:val="0B0B0B"/>
          <w:sz w:val="20"/>
          <w:szCs w:val="20"/>
          <w:lang w:eastAsia="en-GB"/>
        </w:rPr>
        <w:t>authority_tier</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rights_ref</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rights_state</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access_state</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evidence_refs</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derivation</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observed_at</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lifecycle_state</w:t>
      </w:r>
      <w:r w:rsidRPr="0097421E">
        <w:rPr>
          <w:rFonts w:ascii="Segoe UI" w:eastAsia="Times New Roman" w:hAnsi="Segoe UI" w:cs="Segoe UI"/>
          <w:color w:val="0B0B0B"/>
          <w:sz w:val="21"/>
          <w:szCs w:val="21"/>
          <w:lang w:eastAsia="en-GB"/>
        </w:rPr>
        <w:t> — and then projected exactly eight generic predicates. Everything that distinguishes this project from a link dump gets dropped at the semantic boundary. </w:t>
      </w:r>
      <w:r w:rsidRPr="0097421E">
        <w:rPr>
          <w:rFonts w:ascii="Courier New" w:eastAsia="Times New Roman" w:hAnsi="Courier New" w:cs="Courier New"/>
          <w:color w:val="0B0B0B"/>
          <w:sz w:val="20"/>
          <w:szCs w:val="20"/>
          <w:lang w:eastAsia="en-GB"/>
        </w:rPr>
        <w:t>metadata-model.md:161-164</w:t>
      </w:r>
      <w:r w:rsidRPr="0097421E">
        <w:rPr>
          <w:rFonts w:ascii="Segoe UI" w:eastAsia="Times New Roman" w:hAnsi="Segoe UI" w:cs="Segoe UI"/>
          <w:color w:val="0B0B0B"/>
          <w:sz w:val="21"/>
          <w:szCs w:val="21"/>
          <w:lang w:eastAsia="en-GB"/>
        </w:rPr>
        <w:t> says JSON-LD "must not collapse distinctions"; the current projection collapses all of them.</w:t>
      </w:r>
    </w:p>
    <w:p w14:paraId="54B6F24C"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I'd define a small </w:t>
      </w:r>
      <w:r w:rsidRPr="0097421E">
        <w:rPr>
          <w:rFonts w:ascii="Courier New" w:eastAsia="Times New Roman" w:hAnsi="Courier New" w:cs="Courier New"/>
          <w:color w:val="0B0B0B"/>
          <w:sz w:val="20"/>
          <w:szCs w:val="20"/>
          <w:lang w:eastAsia="en-GB"/>
        </w:rPr>
        <w:t>okf-hmlr</w:t>
      </w:r>
      <w:r w:rsidRPr="0097421E">
        <w:rPr>
          <w:rFonts w:ascii="Segoe UI" w:eastAsia="Times New Roman" w:hAnsi="Segoe UI" w:cs="Segoe UI"/>
          <w:color w:val="0B0B0B"/>
          <w:sz w:val="21"/>
          <w:szCs w:val="21"/>
          <w:lang w:eastAsia="en-GB"/>
        </w:rPr>
        <w:t> vocabulary with stable term URIs and emit it: </w:t>
      </w:r>
      <w:r w:rsidRPr="0097421E">
        <w:rPr>
          <w:rFonts w:ascii="Courier New" w:eastAsia="Times New Roman" w:hAnsi="Courier New" w:cs="Courier New"/>
          <w:color w:val="0B0B0B"/>
          <w:sz w:val="20"/>
          <w:szCs w:val="20"/>
          <w:lang w:eastAsia="en-GB"/>
        </w:rPr>
        <w:t>dcterms:license</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dcterms:accrualPeriodicity</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dcat:accessService</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odrl:hasPolicy</w:t>
      </w:r>
      <w:r w:rsidRPr="0097421E">
        <w:rPr>
          <w:rFonts w:ascii="Segoe UI" w:eastAsia="Times New Roman" w:hAnsi="Segoe UI" w:cs="Segoe UI"/>
          <w:color w:val="0B0B0B"/>
          <w:sz w:val="21"/>
          <w:szCs w:val="21"/>
          <w:lang w:eastAsia="en-GB"/>
        </w:rPr>
        <w:t xml:space="preserve"> or a </w:t>
      </w:r>
      <w:r w:rsidRPr="0097421E">
        <w:rPr>
          <w:rFonts w:ascii="Segoe UI" w:eastAsia="Times New Roman" w:hAnsi="Segoe UI" w:cs="Segoe UI"/>
          <w:color w:val="0B0B0B"/>
          <w:sz w:val="21"/>
          <w:szCs w:val="21"/>
          <w:lang w:eastAsia="en-GB"/>
        </w:rPr>
        <w:lastRenderedPageBreak/>
        <w:t>custom </w:t>
      </w:r>
      <w:r w:rsidRPr="0097421E">
        <w:rPr>
          <w:rFonts w:ascii="Courier New" w:eastAsia="Times New Roman" w:hAnsi="Courier New" w:cs="Courier New"/>
          <w:color w:val="0B0B0B"/>
          <w:sz w:val="20"/>
          <w:szCs w:val="20"/>
          <w:lang w:eastAsia="en-GB"/>
        </w:rPr>
        <w:t>hmlr:rightsAssessment</w:t>
      </w:r>
      <w:r w:rsidRPr="0097421E">
        <w:rPr>
          <w:rFonts w:ascii="Segoe UI" w:eastAsia="Times New Roman" w:hAnsi="Segoe UI" w:cs="Segoe UI"/>
          <w:color w:val="0B0B0B"/>
          <w:sz w:val="21"/>
          <w:szCs w:val="21"/>
          <w:lang w:eastAsia="en-GB"/>
        </w:rPr>
        <w:t> pointing at the </w:t>
      </w:r>
      <w:r w:rsidRPr="0097421E">
        <w:rPr>
          <w:rFonts w:ascii="Courier New" w:eastAsia="Times New Roman" w:hAnsi="Courier New" w:cs="Courier New"/>
          <w:color w:val="0B0B0B"/>
          <w:sz w:val="20"/>
          <w:szCs w:val="20"/>
          <w:lang w:eastAsia="en-GB"/>
        </w:rPr>
        <w:t>RIGHT-*</w:t>
      </w:r>
      <w:r w:rsidRPr="0097421E">
        <w:rPr>
          <w:rFonts w:ascii="Segoe UI" w:eastAsia="Times New Roman" w:hAnsi="Segoe UI" w:cs="Segoe UI"/>
          <w:color w:val="0B0B0B"/>
          <w:sz w:val="21"/>
          <w:szCs w:val="21"/>
          <w:lang w:eastAsia="en-GB"/>
        </w:rPr>
        <w:t> node, </w:t>
      </w:r>
      <w:r w:rsidRPr="0097421E">
        <w:rPr>
          <w:rFonts w:ascii="Courier New" w:eastAsia="Times New Roman" w:hAnsi="Courier New" w:cs="Courier New"/>
          <w:color w:val="0B0B0B"/>
          <w:sz w:val="20"/>
          <w:szCs w:val="20"/>
          <w:lang w:eastAsia="en-GB"/>
        </w:rPr>
        <w:t>prov:wasGeneratedBy</w:t>
      </w:r>
      <w:r w:rsidRPr="0097421E">
        <w:rPr>
          <w:rFonts w:ascii="Segoe UI" w:eastAsia="Times New Roman" w:hAnsi="Segoe UI" w:cs="Segoe UI"/>
          <w:color w:val="0B0B0B"/>
          <w:sz w:val="21"/>
          <w:szCs w:val="21"/>
          <w:lang w:eastAsia="en-GB"/>
        </w:rPr>
        <w:t> → the acquisition activity, </w:t>
      </w:r>
      <w:r w:rsidRPr="0097421E">
        <w:rPr>
          <w:rFonts w:ascii="Courier New" w:eastAsia="Times New Roman" w:hAnsi="Courier New" w:cs="Courier New"/>
          <w:color w:val="0B0B0B"/>
          <w:sz w:val="20"/>
          <w:szCs w:val="20"/>
          <w:lang w:eastAsia="en-GB"/>
        </w:rPr>
        <w:t>prov:generatedAtTime</w:t>
      </w:r>
      <w:r w:rsidRPr="0097421E">
        <w:rPr>
          <w:rFonts w:ascii="Segoe UI" w:eastAsia="Times New Roman" w:hAnsi="Segoe UI" w:cs="Segoe UI"/>
          <w:color w:val="0B0B0B"/>
          <w:sz w:val="21"/>
          <w:szCs w:val="21"/>
          <w:lang w:eastAsia="en-GB"/>
        </w:rPr>
        <w:t> → </w:t>
      </w:r>
      <w:r w:rsidRPr="0097421E">
        <w:rPr>
          <w:rFonts w:ascii="Courier New" w:eastAsia="Times New Roman" w:hAnsi="Courier New" w:cs="Courier New"/>
          <w:color w:val="0B0B0B"/>
          <w:sz w:val="20"/>
          <w:szCs w:val="20"/>
          <w:lang w:eastAsia="en-GB"/>
        </w:rPr>
        <w:t>observed_at</w:t>
      </w:r>
      <w:r w:rsidRPr="0097421E">
        <w:rPr>
          <w:rFonts w:ascii="Segoe UI" w:eastAsia="Times New Roman" w:hAnsi="Segoe UI" w:cs="Segoe UI"/>
          <w:color w:val="0B0B0B"/>
          <w:sz w:val="21"/>
          <w:szCs w:val="21"/>
          <w:lang w:eastAsia="en-GB"/>
        </w:rPr>
        <w:t>. Then </w:t>
      </w:r>
      <w:r w:rsidRPr="0097421E">
        <w:rPr>
          <w:rFonts w:ascii="Courier New" w:eastAsia="Times New Roman" w:hAnsi="Courier New" w:cs="Courier New"/>
          <w:color w:val="0B0B0B"/>
          <w:sz w:val="20"/>
          <w:szCs w:val="20"/>
          <w:lang w:eastAsia="en-GB"/>
        </w:rPr>
        <w:t>rights.json</w:t>
      </w:r>
      <w:r w:rsidRPr="0097421E">
        <w:rPr>
          <w:rFonts w:ascii="Segoe UI" w:eastAsia="Times New Roman" w:hAnsi="Segoe UI" w:cs="Segoe UI"/>
          <w:color w:val="0B0B0B"/>
          <w:sz w:val="21"/>
          <w:szCs w:val="21"/>
          <w:lang w:eastAsia="en-GB"/>
        </w:rPr>
        <w:t>'s seven assessments become first-class nodes in the graph rather than a sidecar JSON file. That single change would make the bundle's governance machine-actionable instead of human-readable-only.</w:t>
      </w:r>
    </w:p>
    <w:p w14:paraId="097A3EC1"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2. I'd separate observation time from assertion in the model, not just in field names.</w:t>
      </w:r>
    </w:p>
    <w:p w14:paraId="31C6303B"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You correctly insist (</w:t>
      </w:r>
      <w:r w:rsidRPr="0097421E">
        <w:rPr>
          <w:rFonts w:ascii="Courier New" w:eastAsia="Times New Roman" w:hAnsi="Courier New" w:cs="Courier New"/>
          <w:color w:val="0B0B0B"/>
          <w:sz w:val="20"/>
          <w:szCs w:val="20"/>
          <w:lang w:eastAsia="en-GB"/>
        </w:rPr>
        <w:t>metadata-model.md:98</w:t>
      </w:r>
      <w:r w:rsidRPr="0097421E">
        <w:rPr>
          <w:rFonts w:ascii="Segoe UI" w:eastAsia="Times New Roman" w:hAnsi="Segoe UI" w:cs="Segoe UI"/>
          <w:color w:val="0B0B0B"/>
          <w:sz w:val="21"/>
          <w:szCs w:val="21"/>
          <w:lang w:eastAsia="en-GB"/>
        </w:rPr>
        <w:t>) that catalogue modification ≠ data currency. But the flat record shape gives every field the same temporal status. I'd model each governed assertion as a small reified claim — value, evidence ref, observed_at, authority tier — for the fields where it matters (</w:t>
      </w:r>
      <w:r w:rsidRPr="0097421E">
        <w:rPr>
          <w:rFonts w:ascii="Courier New" w:eastAsia="Times New Roman" w:hAnsi="Courier New" w:cs="Courier New"/>
          <w:color w:val="0B0B0B"/>
          <w:sz w:val="20"/>
          <w:szCs w:val="20"/>
          <w:lang w:eastAsia="en-GB"/>
        </w:rPr>
        <w:t>licence</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access_state</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lifecycle_state</w:t>
      </w:r>
      <w:r w:rsidRPr="0097421E">
        <w:rPr>
          <w:rFonts w:ascii="Segoe UI" w:eastAsia="Times New Roman" w:hAnsi="Segoe UI" w:cs="Segoe UI"/>
          <w:color w:val="0B0B0B"/>
          <w:sz w:val="21"/>
          <w:szCs w:val="21"/>
          <w:lang w:eastAsia="en-GB"/>
        </w:rPr>
        <w:t>). That's what makes "unknown stays unknown" enforceable rather than a convention, and it removes the temptation to write </w:t>
      </w:r>
      <w:r w:rsidRPr="0097421E">
        <w:rPr>
          <w:rFonts w:ascii="Courier New" w:eastAsia="Times New Roman" w:hAnsi="Courier New" w:cs="Courier New"/>
          <w:color w:val="0B0B0B"/>
          <w:sz w:val="20"/>
          <w:szCs w:val="20"/>
          <w:lang w:eastAsia="en-GB"/>
        </w:rPr>
        <w:t>"source-specific"</w:t>
      </w:r>
      <w:r w:rsidRPr="0097421E">
        <w:rPr>
          <w:rFonts w:ascii="Segoe UI" w:eastAsia="Times New Roman" w:hAnsi="Segoe UI" w:cs="Segoe UI"/>
          <w:color w:val="0B0B0B"/>
          <w:sz w:val="21"/>
          <w:szCs w:val="21"/>
          <w:lang w:eastAsia="en-GB"/>
        </w:rPr>
        <w:t> into 1,843 licence fields.</w:t>
      </w:r>
    </w:p>
    <w:p w14:paraId="1B35112A"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3. I'd emit </w:t>
      </w:r>
      <w:r w:rsidRPr="0097421E">
        <w:rPr>
          <w:rFonts w:ascii="Courier New" w:eastAsia="Times New Roman" w:hAnsi="Courier New" w:cs="Courier New"/>
          <w:color w:val="0B0B0B"/>
          <w:sz w:val="20"/>
          <w:szCs w:val="20"/>
          <w:lang w:eastAsia="en-GB"/>
        </w:rPr>
        <w:t>null</w:t>
      </w:r>
      <w:r w:rsidRPr="0097421E">
        <w:rPr>
          <w:rFonts w:ascii="Segoe UI" w:eastAsia="Times New Roman" w:hAnsi="Segoe UI" w:cs="Segoe UI"/>
          <w:color w:val="0B0B0B"/>
          <w:sz w:val="21"/>
          <w:szCs w:val="21"/>
          <w:lang w:eastAsia="en-GB"/>
        </w:rPr>
        <w:t> and let the consumer render "not stated."</w:t>
      </w:r>
    </w:p>
    <w:p w14:paraId="5DE047E8"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Placeholders are a presentation decision leaking into the data plane. Put the sentence in the UI copy, keep the field null, and add a build assertion that no governed field contains a known placeholder string. That one test would have caught all three of the cases above.</w:t>
      </w:r>
    </w:p>
    <w:p w14:paraId="00336C59"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4. I'd split </w:t>
      </w:r>
      <w:r w:rsidRPr="0097421E">
        <w:rPr>
          <w:rFonts w:ascii="Courier New" w:eastAsia="Times New Roman" w:hAnsi="Courier New" w:cs="Courier New"/>
          <w:color w:val="0B0B0B"/>
          <w:sz w:val="20"/>
          <w:szCs w:val="20"/>
          <w:lang w:eastAsia="en-GB"/>
        </w:rPr>
        <w:t>record_type</w:t>
      </w:r>
      <w:r w:rsidRPr="0097421E">
        <w:rPr>
          <w:rFonts w:ascii="Segoe UI" w:eastAsia="Times New Roman" w:hAnsi="Segoe UI" w:cs="Segoe UI"/>
          <w:color w:val="0B0B0B"/>
          <w:sz w:val="21"/>
          <w:szCs w:val="21"/>
          <w:lang w:eastAsia="en-GB"/>
        </w:rPr>
        <w:t> into </w:t>
      </w:r>
      <w:r w:rsidRPr="0097421E">
        <w:rPr>
          <w:rFonts w:ascii="Courier New" w:eastAsia="Times New Roman" w:hAnsi="Courier New" w:cs="Courier New"/>
          <w:color w:val="0B0B0B"/>
          <w:sz w:val="20"/>
          <w:szCs w:val="20"/>
          <w:lang w:eastAsia="en-GB"/>
        </w:rPr>
        <w:t>source_native_type</w:t>
      </w:r>
      <w:r w:rsidRPr="0097421E">
        <w:rPr>
          <w:rFonts w:ascii="Segoe UI" w:eastAsia="Times New Roman" w:hAnsi="Segoe UI" w:cs="Segoe UI"/>
          <w:color w:val="0B0B0B"/>
          <w:sz w:val="21"/>
          <w:szCs w:val="21"/>
          <w:lang w:eastAsia="en-GB"/>
        </w:rPr>
        <w:t> + a small governed </w:t>
      </w:r>
      <w:r w:rsidRPr="0097421E">
        <w:rPr>
          <w:rFonts w:ascii="Courier New" w:eastAsia="Times New Roman" w:hAnsi="Courier New" w:cs="Courier New"/>
          <w:color w:val="0B0B0B"/>
          <w:sz w:val="20"/>
          <w:szCs w:val="20"/>
          <w:lang w:eastAsia="en-GB"/>
        </w:rPr>
        <w:t>kind</w:t>
      </w:r>
      <w:r w:rsidRPr="0097421E">
        <w:rPr>
          <w:rFonts w:ascii="Segoe UI" w:eastAsia="Times New Roman" w:hAnsi="Segoe UI" w:cs="Segoe UI"/>
          <w:color w:val="0B0B0B"/>
          <w:sz w:val="21"/>
          <w:szCs w:val="21"/>
          <w:lang w:eastAsia="en-GB"/>
        </w:rPr>
        <w:t>.</w:t>
      </w:r>
    </w:p>
    <w:p w14:paraId="4FD0365F"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Keep GOV.UK's </w:t>
      </w:r>
      <w:r w:rsidRPr="0097421E">
        <w:rPr>
          <w:rFonts w:ascii="Courier New" w:eastAsia="Times New Roman" w:hAnsi="Courier New" w:cs="Courier New"/>
          <w:color w:val="0B0B0B"/>
          <w:sz w:val="20"/>
          <w:szCs w:val="20"/>
          <w:lang w:eastAsia="en-GB"/>
        </w:rPr>
        <w:t>content_store_document_type</w:t>
      </w:r>
      <w:r w:rsidRPr="0097421E">
        <w:rPr>
          <w:rFonts w:ascii="Segoe UI" w:eastAsia="Times New Roman" w:hAnsi="Segoe UI" w:cs="Segoe UI"/>
          <w:color w:val="0B0B0B"/>
          <w:sz w:val="21"/>
          <w:szCs w:val="21"/>
          <w:lang w:eastAsia="en-GB"/>
        </w:rPr>
        <w:t> verbatim — that honours your source-native rule. Add a governed </w:t>
      </w:r>
      <w:r w:rsidRPr="0097421E">
        <w:rPr>
          <w:rFonts w:ascii="Courier New" w:eastAsia="Times New Roman" w:hAnsi="Courier New" w:cs="Courier New"/>
          <w:color w:val="0B0B0B"/>
          <w:sz w:val="20"/>
          <w:szCs w:val="20"/>
          <w:lang w:eastAsia="en-GB"/>
        </w:rPr>
        <w:t>kind</w:t>
      </w:r>
      <w:r w:rsidRPr="0097421E">
        <w:rPr>
          <w:rFonts w:ascii="Segoe UI" w:eastAsia="Times New Roman" w:hAnsi="Segoe UI" w:cs="Segoe UI"/>
          <w:color w:val="0B0B0B"/>
          <w:sz w:val="21"/>
          <w:szCs w:val="21"/>
          <w:lang w:eastAsia="en-GB"/>
        </w:rPr>
        <w:t> of maybe 10 values (</w:t>
      </w:r>
      <w:r w:rsidRPr="0097421E">
        <w:rPr>
          <w:rFonts w:ascii="Courier New" w:eastAsia="Times New Roman" w:hAnsi="Courier New" w:cs="Courier New"/>
          <w:color w:val="0B0B0B"/>
          <w:sz w:val="20"/>
          <w:szCs w:val="20"/>
          <w:lang w:eastAsia="en-GB"/>
        </w:rPr>
        <w:t>guidance</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dataset</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service</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api</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repository</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statistics</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news</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corporate</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form</w:t>
      </w:r>
      <w:r w:rsidRPr="0097421E">
        <w:rPr>
          <w:rFonts w:ascii="Segoe UI" w:eastAsia="Times New Roman" w:hAnsi="Segoe UI" w:cs="Segoe UI"/>
          <w:color w:val="0B0B0B"/>
          <w:sz w:val="21"/>
          <w:szCs w:val="21"/>
          <w:lang w:eastAsia="en-GB"/>
        </w:rPr>
        <w:t>, </w:t>
      </w:r>
      <w:r w:rsidRPr="0097421E">
        <w:rPr>
          <w:rFonts w:ascii="Courier New" w:eastAsia="Times New Roman" w:hAnsi="Courier New" w:cs="Courier New"/>
          <w:color w:val="0B0B0B"/>
          <w:sz w:val="20"/>
          <w:szCs w:val="20"/>
          <w:lang w:eastAsia="en-GB"/>
        </w:rPr>
        <w:t>legislation</w:t>
      </w:r>
      <w:r w:rsidRPr="0097421E">
        <w:rPr>
          <w:rFonts w:ascii="Segoe UI" w:eastAsia="Times New Roman" w:hAnsi="Segoe UI" w:cs="Segoe UI"/>
          <w:color w:val="0B0B0B"/>
          <w:sz w:val="21"/>
          <w:szCs w:val="21"/>
          <w:lang w:eastAsia="en-GB"/>
        </w:rPr>
        <w:t>) with a declared crosswalk. Facet on </w:t>
      </w:r>
      <w:r w:rsidRPr="0097421E">
        <w:rPr>
          <w:rFonts w:ascii="Courier New" w:eastAsia="Times New Roman" w:hAnsi="Courier New" w:cs="Courier New"/>
          <w:color w:val="0B0B0B"/>
          <w:sz w:val="20"/>
          <w:szCs w:val="20"/>
          <w:lang w:eastAsia="en-GB"/>
        </w:rPr>
        <w:t>kind</w:t>
      </w:r>
      <w:r w:rsidRPr="0097421E">
        <w:rPr>
          <w:rFonts w:ascii="Segoe UI" w:eastAsia="Times New Roman" w:hAnsi="Segoe UI" w:cs="Segoe UI"/>
          <w:color w:val="0B0B0B"/>
          <w:sz w:val="21"/>
          <w:szCs w:val="21"/>
          <w:lang w:eastAsia="en-GB"/>
        </w:rPr>
        <w:t>, disclose </w:t>
      </w:r>
      <w:r w:rsidRPr="0097421E">
        <w:rPr>
          <w:rFonts w:ascii="Courier New" w:eastAsia="Times New Roman" w:hAnsi="Courier New" w:cs="Courier New"/>
          <w:color w:val="0B0B0B"/>
          <w:sz w:val="20"/>
          <w:szCs w:val="20"/>
          <w:lang w:eastAsia="en-GB"/>
        </w:rPr>
        <w:t>source_native_type</w:t>
      </w:r>
      <w:r w:rsidRPr="0097421E">
        <w:rPr>
          <w:rFonts w:ascii="Segoe UI" w:eastAsia="Times New Roman" w:hAnsi="Segoe UI" w:cs="Segoe UI"/>
          <w:color w:val="0B0B0B"/>
          <w:sz w:val="21"/>
          <w:szCs w:val="21"/>
          <w:lang w:eastAsia="en-GB"/>
        </w:rPr>
        <w:t>. This is a ~40-line change that fixes both the faceting problem and the schema.org typing problem, since </w:t>
      </w:r>
      <w:r w:rsidRPr="0097421E">
        <w:rPr>
          <w:rFonts w:ascii="Courier New" w:eastAsia="Times New Roman" w:hAnsi="Courier New" w:cs="Courier New"/>
          <w:color w:val="0B0B0B"/>
          <w:sz w:val="20"/>
          <w:szCs w:val="20"/>
          <w:lang w:eastAsia="en-GB"/>
        </w:rPr>
        <w:t>kind → @type</w:t>
      </w:r>
      <w:r w:rsidRPr="0097421E">
        <w:rPr>
          <w:rFonts w:ascii="Segoe UI" w:eastAsia="Times New Roman" w:hAnsi="Segoe UI" w:cs="Segoe UI"/>
          <w:color w:val="0B0B0B"/>
          <w:sz w:val="21"/>
          <w:szCs w:val="21"/>
          <w:lang w:eastAsia="en-GB"/>
        </w:rPr>
        <w:t> becomes a real map instead of a three-entry dict with a dead branch.</w:t>
      </w:r>
    </w:p>
    <w:p w14:paraId="01C2C285"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5. I'd score the evaluation against things that should </w:t>
      </w:r>
      <w:r w:rsidRPr="0097421E">
        <w:rPr>
          <w:rFonts w:ascii="Segoe UI" w:eastAsia="Times New Roman" w:hAnsi="Segoe UI" w:cs="Segoe UI"/>
          <w:i/>
          <w:iCs/>
          <w:color w:val="0B0B0B"/>
          <w:sz w:val="21"/>
          <w:szCs w:val="21"/>
          <w:lang w:eastAsia="en-GB"/>
        </w:rPr>
        <w:t>not</w:t>
      </w:r>
      <w:r w:rsidRPr="0097421E">
        <w:rPr>
          <w:rFonts w:ascii="Segoe UI" w:eastAsia="Times New Roman" w:hAnsi="Segoe UI" w:cs="Segoe UI"/>
          <w:color w:val="0B0B0B"/>
          <w:sz w:val="21"/>
          <w:szCs w:val="21"/>
          <w:lang w:eastAsia="en-GB"/>
        </w:rPr>
        <w:t> match.</w:t>
      </w:r>
    </w:p>
    <w:p w14:paraId="27AD0850"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Turn each </w:t>
      </w:r>
      <w:r w:rsidRPr="0097421E">
        <w:rPr>
          <w:rFonts w:ascii="Courier New" w:eastAsia="Times New Roman" w:hAnsi="Courier New" w:cs="Courier New"/>
          <w:color w:val="0B0B0B"/>
          <w:sz w:val="20"/>
          <w:szCs w:val="20"/>
          <w:lang w:eastAsia="en-GB"/>
        </w:rPr>
        <w:t>near_miss_rule</w:t>
      </w:r>
      <w:r w:rsidRPr="0097421E">
        <w:rPr>
          <w:rFonts w:ascii="Segoe UI" w:eastAsia="Times New Roman" w:hAnsi="Segoe UI" w:cs="Segoe UI"/>
          <w:color w:val="0B0B0B"/>
          <w:sz w:val="21"/>
          <w:szCs w:val="21"/>
          <w:lang w:eastAsia="en-GB"/>
        </w:rPr>
        <w:t> into an explicit </w:t>
      </w:r>
      <w:r w:rsidRPr="0097421E">
        <w:rPr>
          <w:rFonts w:ascii="Courier New" w:eastAsia="Times New Roman" w:hAnsi="Courier New" w:cs="Courier New"/>
          <w:color w:val="0B0B0B"/>
          <w:sz w:val="20"/>
          <w:szCs w:val="20"/>
          <w:lang w:eastAsia="en-GB"/>
        </w:rPr>
        <w:t>must_not_retrieve</w:t>
      </w:r>
      <w:r w:rsidRPr="0097421E">
        <w:rPr>
          <w:rFonts w:ascii="Segoe UI" w:eastAsia="Times New Roman" w:hAnsi="Segoe UI" w:cs="Segoe UI"/>
          <w:color w:val="0B0B0B"/>
          <w:sz w:val="21"/>
          <w:szCs w:val="21"/>
          <w:lang w:eastAsia="en-GB"/>
        </w:rPr>
        <w:t> URL list and score it. A suite where every metric is 1.0 has no discriminating power. I'd also expect at least one deliberately adversarial question per hard-failure class — e.g. "where is the exact boundary of my property?" asserting that INSPIRE index polygons must </w:t>
      </w:r>
      <w:r w:rsidRPr="0097421E">
        <w:rPr>
          <w:rFonts w:ascii="Segoe UI" w:eastAsia="Times New Roman" w:hAnsi="Segoe UI" w:cs="Segoe UI"/>
          <w:i/>
          <w:iCs/>
          <w:color w:val="0B0B0B"/>
          <w:sz w:val="21"/>
          <w:szCs w:val="21"/>
          <w:lang w:eastAsia="en-GB"/>
        </w:rPr>
        <w:t>not</w:t>
      </w:r>
      <w:r w:rsidRPr="0097421E">
        <w:rPr>
          <w:rFonts w:ascii="Segoe UI" w:eastAsia="Times New Roman" w:hAnsi="Segoe UI" w:cs="Segoe UI"/>
          <w:color w:val="0B0B0B"/>
          <w:sz w:val="21"/>
          <w:szCs w:val="21"/>
          <w:lang w:eastAsia="en-GB"/>
        </w:rPr>
        <w:t> rank first without the boundary caveat surfaced.</w:t>
      </w:r>
    </w:p>
    <w:p w14:paraId="3424AE0C"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6. I'd add YAML-LD, since the ecosystem expects it.</w:t>
      </w:r>
    </w:p>
    <w:p w14:paraId="7E35C9B0"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Given </w:t>
      </w:r>
      <w:r w:rsidRPr="0097421E">
        <w:rPr>
          <w:rFonts w:ascii="Courier New" w:eastAsia="Times New Roman" w:hAnsi="Courier New" w:cs="Courier New"/>
          <w:color w:val="0B0B0B"/>
          <w:sz w:val="20"/>
          <w:szCs w:val="20"/>
          <w:lang w:eastAsia="en-GB"/>
        </w:rPr>
        <w:t>okf-explorer</w:t>
      </w:r>
      <w:r w:rsidRPr="0097421E">
        <w:rPr>
          <w:rFonts w:ascii="Segoe UI" w:eastAsia="Times New Roman" w:hAnsi="Segoe UI" w:cs="Segoe UI"/>
          <w:color w:val="0B0B0B"/>
          <w:sz w:val="21"/>
          <w:szCs w:val="21"/>
          <w:lang w:eastAsia="en-GB"/>
        </w:rPr>
        <w:t> treats </w:t>
      </w:r>
      <w:r w:rsidRPr="0097421E">
        <w:rPr>
          <w:rFonts w:ascii="Courier New" w:eastAsia="Times New Roman" w:hAnsi="Courier New" w:cs="Courier New"/>
          <w:color w:val="0B0B0B"/>
          <w:sz w:val="20"/>
          <w:szCs w:val="20"/>
          <w:lang w:eastAsia="en-GB"/>
        </w:rPr>
        <w:t>.yamlld</w:t>
      </w:r>
      <w:r w:rsidRPr="0097421E">
        <w:rPr>
          <w:rFonts w:ascii="Segoe UI" w:eastAsia="Times New Roman" w:hAnsi="Segoe UI" w:cs="Segoe UI"/>
          <w:color w:val="0B0B0B"/>
          <w:sz w:val="21"/>
          <w:szCs w:val="21"/>
          <w:lang w:eastAsia="en-GB"/>
        </w:rPr>
        <w:t> as the canonical semantic descriptor, emitting both serialisations from the same in-memory graph is nearly free once the projection is worth publishing. Do it </w:t>
      </w:r>
      <w:r w:rsidRPr="0097421E">
        <w:rPr>
          <w:rFonts w:ascii="Segoe UI" w:eastAsia="Times New Roman" w:hAnsi="Segoe UI" w:cs="Segoe UI"/>
          <w:i/>
          <w:iCs/>
          <w:color w:val="0B0B0B"/>
          <w:sz w:val="21"/>
          <w:szCs w:val="21"/>
          <w:lang w:eastAsia="en-GB"/>
        </w:rPr>
        <w:t>after</w:t>
      </w:r>
      <w:r w:rsidRPr="0097421E">
        <w:rPr>
          <w:rFonts w:ascii="Segoe UI" w:eastAsia="Times New Roman" w:hAnsi="Segoe UI" w:cs="Segoe UI"/>
          <w:color w:val="0B0B0B"/>
          <w:sz w:val="21"/>
          <w:szCs w:val="21"/>
          <w:lang w:eastAsia="en-GB"/>
        </w:rPr>
        <w:t> fixing the projection — a YAML-LD file with eight predicates isn't more useful than a JSON-LD one with eight predicates.</w:t>
      </w:r>
    </w:p>
    <w:p w14:paraId="70876224"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7. I'd delete the architecture prose until its test lands.</w:t>
      </w:r>
    </w:p>
    <w:p w14:paraId="14CCED00"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inherit" w:eastAsia="Times New Roman" w:hAnsi="inherit" w:cs="Courier New"/>
          <w:color w:val="184F95"/>
          <w:sz w:val="20"/>
          <w:szCs w:val="20"/>
          <w:lang w:eastAsia="en-GB"/>
        </w:rPr>
        <w:t>docs/architecture.md:99-104</w:t>
      </w:r>
      <w:r w:rsidRPr="0097421E">
        <w:rPr>
          <w:rFonts w:ascii="Segoe UI" w:eastAsia="Times New Roman" w:hAnsi="Segoe UI" w:cs="Segoe UI"/>
          <w:color w:val="0B0B0B"/>
          <w:sz w:val="21"/>
          <w:szCs w:val="21"/>
          <w:lang w:eastAsia="en-GB"/>
        </w:rPr>
        <w:t> and </w:t>
      </w:r>
      <w:r w:rsidRPr="0097421E">
        <w:rPr>
          <w:rFonts w:ascii="inherit" w:eastAsia="Times New Roman" w:hAnsi="inherit" w:cs="Courier New"/>
          <w:color w:val="184F95"/>
          <w:sz w:val="20"/>
          <w:szCs w:val="20"/>
          <w:lang w:eastAsia="en-GB"/>
        </w:rPr>
        <w:t>governance/artifact-dependency-graph.json:284</w:t>
      </w:r>
      <w:r w:rsidRPr="0097421E">
        <w:rPr>
          <w:rFonts w:ascii="Segoe UI" w:eastAsia="Times New Roman" w:hAnsi="Segoe UI" w:cs="Segoe UI"/>
          <w:color w:val="0B0B0B"/>
          <w:sz w:val="21"/>
          <w:szCs w:val="21"/>
          <w:lang w:eastAsia="en-GB"/>
        </w:rPr>
        <w:t> should either wait for </w:t>
      </w:r>
      <w:r w:rsidRPr="0097421E">
        <w:rPr>
          <w:rFonts w:ascii="inherit" w:eastAsia="Times New Roman" w:hAnsi="inherit" w:cs="Courier New"/>
          <w:color w:val="184F95"/>
          <w:sz w:val="20"/>
          <w:szCs w:val="20"/>
          <w:lang w:eastAsia="en-GB"/>
        </w:rPr>
        <w:t>tests/test_explorer_contract.py</w:t>
      </w:r>
      <w:r w:rsidRPr="0097421E">
        <w:rPr>
          <w:rFonts w:ascii="Segoe UI" w:eastAsia="Times New Roman" w:hAnsi="Segoe UI" w:cs="Segoe UI"/>
          <w:color w:val="0B0B0B"/>
          <w:sz w:val="21"/>
          <w:szCs w:val="21"/>
          <w:lang w:eastAsia="en-GB"/>
        </w:rPr>
        <w:t> or say "planned." </w:t>
      </w:r>
      <w:r w:rsidRPr="0097421E">
        <w:rPr>
          <w:rFonts w:ascii="Courier New" w:eastAsia="Times New Roman" w:hAnsi="Courier New" w:cs="Courier New"/>
          <w:color w:val="0B0B0B"/>
          <w:sz w:val="20"/>
          <w:szCs w:val="20"/>
          <w:lang w:eastAsia="en-GB"/>
        </w:rPr>
        <w:t>AGENTS.md:56</w:t>
      </w:r>
      <w:r w:rsidRPr="0097421E">
        <w:rPr>
          <w:rFonts w:ascii="Segoe UI" w:eastAsia="Times New Roman" w:hAnsi="Segoe UI" w:cs="Segoe UI"/>
          <w:color w:val="0B0B0B"/>
          <w:sz w:val="21"/>
          <w:szCs w:val="21"/>
          <w:lang w:eastAsia="en-GB"/>
        </w:rPr>
        <w:t> already states the rule — </w:t>
      </w:r>
      <w:r w:rsidRPr="0097421E">
        <w:rPr>
          <w:rFonts w:ascii="Segoe UI" w:eastAsia="Times New Roman" w:hAnsi="Segoe UI" w:cs="Segoe UI"/>
          <w:i/>
          <w:iCs/>
          <w:color w:val="0B0B0B"/>
          <w:sz w:val="21"/>
          <w:szCs w:val="21"/>
          <w:lang w:eastAsia="en-GB"/>
        </w:rPr>
        <w:t>"If a path is not present yet, treat it as planned rather than evidence that a gate passed"</w:t>
      </w:r>
      <w:r w:rsidRPr="0097421E">
        <w:rPr>
          <w:rFonts w:ascii="Segoe UI" w:eastAsia="Times New Roman" w:hAnsi="Segoe UI" w:cs="Segoe UI"/>
          <w:color w:val="0B0B0B"/>
          <w:sz w:val="21"/>
          <w:szCs w:val="21"/>
          <w:lang w:eastAsia="en-GB"/>
        </w:rPr>
        <w:t> — and this is the one place the repo breaks it. Given the graph is itself the change-impact control, I'd also add a validator assertion that every path in </w:t>
      </w:r>
      <w:r w:rsidRPr="0097421E">
        <w:rPr>
          <w:rFonts w:ascii="Courier New" w:eastAsia="Times New Roman" w:hAnsi="Courier New" w:cs="Courier New"/>
          <w:color w:val="0B0B0B"/>
          <w:sz w:val="20"/>
          <w:szCs w:val="20"/>
          <w:lang w:eastAsia="en-GB"/>
        </w:rPr>
        <w:t>focused_tests</w:t>
      </w:r>
      <w:r w:rsidRPr="0097421E">
        <w:rPr>
          <w:rFonts w:ascii="Segoe UI" w:eastAsia="Times New Roman" w:hAnsi="Segoe UI" w:cs="Segoe UI"/>
          <w:color w:val="0B0B0B"/>
          <w:sz w:val="21"/>
          <w:szCs w:val="21"/>
          <w:lang w:eastAsia="en-GB"/>
        </w:rPr>
        <w:t> exists on disk; that's a five-line fix and it makes the class of error self-detecting.</w:t>
      </w:r>
    </w:p>
    <w:p w14:paraId="14ACDE76" w14:textId="77777777" w:rsidR="0097421E" w:rsidRPr="0097421E" w:rsidRDefault="00E778EB" w:rsidP="0097421E">
      <w:pPr>
        <w:shd w:val="clear" w:color="auto" w:fill="FCFCFB"/>
        <w:rPr>
          <w:rFonts w:ascii="Segoe UI" w:eastAsia="Times New Roman" w:hAnsi="Segoe UI" w:cs="Segoe UI"/>
          <w:color w:val="0B0B0B"/>
          <w:sz w:val="21"/>
          <w:szCs w:val="21"/>
          <w:lang w:eastAsia="en-GB"/>
        </w:rPr>
      </w:pPr>
      <w:r w:rsidRPr="00E778EB">
        <w:rPr>
          <w:rFonts w:ascii="Segoe UI" w:eastAsia="Times New Roman" w:hAnsi="Segoe UI" w:cs="Segoe UI"/>
          <w:noProof/>
          <w:color w:val="0B0B0B"/>
          <w:sz w:val="21"/>
          <w:szCs w:val="21"/>
          <w:lang w:eastAsia="en-GB"/>
          <w14:ligatures w14:val="standardContextual"/>
        </w:rPr>
        <w:pict w14:anchorId="0B1F4857">
          <v:rect id="_x0000_i1025" style="width:0;height:0" o:hralign="center" o:hrstd="t" o:hr="t" fillcolor="#a0a0a0" stroked="f"/>
        </w:pict>
      </w:r>
    </w:p>
    <w:p w14:paraId="46DF16F4" w14:textId="77777777" w:rsidR="0097421E" w:rsidRPr="0097421E" w:rsidRDefault="0097421E" w:rsidP="0097421E">
      <w:pPr>
        <w:shd w:val="clear" w:color="auto" w:fill="FCFCFB"/>
        <w:outlineLvl w:val="1"/>
        <w:rPr>
          <w:rFonts w:ascii="Segoe UI" w:eastAsia="Times New Roman" w:hAnsi="Segoe UI" w:cs="Segoe UI"/>
          <w:color w:val="6D6B67"/>
          <w:szCs w:val="22"/>
          <w:lang w:eastAsia="en-GB"/>
        </w:rPr>
      </w:pPr>
      <w:r w:rsidRPr="0097421E">
        <w:rPr>
          <w:rFonts w:ascii="Segoe UI" w:eastAsia="Times New Roman" w:hAnsi="Segoe UI" w:cs="Segoe UI"/>
          <w:color w:val="6D6B67"/>
          <w:szCs w:val="22"/>
          <w:lang w:eastAsia="en-GB"/>
        </w:rPr>
        <w:t>If I fixed five things</w:t>
      </w:r>
    </w:p>
    <w:p w14:paraId="7780706B" w14:textId="77777777" w:rsidR="0097421E" w:rsidRPr="0097421E" w:rsidRDefault="0097421E" w:rsidP="0097421E">
      <w:pPr>
        <w:numPr>
          <w:ilvl w:val="0"/>
          <w:numId w:val="2"/>
        </w:num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Add </w:t>
      </w:r>
      <w:r w:rsidRPr="0097421E">
        <w:rPr>
          <w:rFonts w:ascii="inherit" w:eastAsia="Times New Roman" w:hAnsi="inherit" w:cs="Courier New"/>
          <w:color w:val="184F95"/>
          <w:sz w:val="20"/>
          <w:szCs w:val="20"/>
          <w:lang w:eastAsia="en-GB"/>
        </w:rPr>
        <w:t>tests/test_explorer_contract.py</w:t>
      </w:r>
      <w:r w:rsidRPr="0097421E">
        <w:rPr>
          <w:rFonts w:ascii="Segoe UI" w:eastAsia="Times New Roman" w:hAnsi="Segoe UI" w:cs="Segoe UI"/>
          <w:color w:val="0B0B0B"/>
          <w:sz w:val="21"/>
          <w:szCs w:val="21"/>
          <w:lang w:eastAsia="en-GB"/>
        </w:rPr>
        <w:t>, or downgrade the </w:t>
      </w:r>
      <w:r w:rsidRPr="0097421E">
        <w:rPr>
          <w:rFonts w:ascii="Courier New" w:eastAsia="Times New Roman" w:hAnsi="Courier New" w:cs="Courier New"/>
          <w:color w:val="0B0B0B"/>
          <w:sz w:val="20"/>
          <w:szCs w:val="20"/>
          <w:lang w:eastAsia="en-GB"/>
        </w:rPr>
        <w:t>architecture.md</w:t>
      </w:r>
      <w:r w:rsidRPr="0097421E">
        <w:rPr>
          <w:rFonts w:ascii="Segoe UI" w:eastAsia="Times New Roman" w:hAnsi="Segoe UI" w:cs="Segoe UI"/>
          <w:color w:val="0B0B0B"/>
          <w:sz w:val="21"/>
          <w:szCs w:val="21"/>
          <w:lang w:eastAsia="en-GB"/>
        </w:rPr>
        <w:t> claim — it's the only place documentation asserts a gate that doesn't exist.</w:t>
      </w:r>
    </w:p>
    <w:p w14:paraId="1565BAA6" w14:textId="77777777" w:rsidR="0097421E" w:rsidRPr="0097421E" w:rsidRDefault="0097421E" w:rsidP="0097421E">
      <w:pPr>
        <w:numPr>
          <w:ilvl w:val="0"/>
          <w:numId w:val="2"/>
        </w:num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Enrich the JSON-LD projection with rights, access, licence, provenance and authority; drop the unused </w:t>
      </w:r>
      <w:r w:rsidRPr="0097421E">
        <w:rPr>
          <w:rFonts w:ascii="Courier New" w:eastAsia="Times New Roman" w:hAnsi="Courier New" w:cs="Courier New"/>
          <w:color w:val="0B0B0B"/>
          <w:sz w:val="20"/>
          <w:szCs w:val="20"/>
          <w:lang w:eastAsia="en-GB"/>
        </w:rPr>
        <w:t>dcat:</w:t>
      </w:r>
      <w:r w:rsidRPr="0097421E">
        <w:rPr>
          <w:rFonts w:ascii="Segoe UI" w:eastAsia="Times New Roman" w:hAnsi="Segoe UI" w:cs="Segoe UI"/>
          <w:color w:val="0B0B0B"/>
          <w:sz w:val="21"/>
          <w:szCs w:val="21"/>
          <w:lang w:eastAsia="en-GB"/>
        </w:rPr>
        <w:t>/</w:t>
      </w:r>
      <w:r w:rsidRPr="0097421E">
        <w:rPr>
          <w:rFonts w:ascii="Courier New" w:eastAsia="Times New Roman" w:hAnsi="Courier New" w:cs="Courier New"/>
          <w:color w:val="0B0B0B"/>
          <w:sz w:val="20"/>
          <w:szCs w:val="20"/>
          <w:lang w:eastAsia="en-GB"/>
        </w:rPr>
        <w:t>prov:</w:t>
      </w:r>
      <w:r w:rsidRPr="0097421E">
        <w:rPr>
          <w:rFonts w:ascii="Segoe UI" w:eastAsia="Times New Roman" w:hAnsi="Segoe UI" w:cs="Segoe UI"/>
          <w:color w:val="0B0B0B"/>
          <w:sz w:val="21"/>
          <w:szCs w:val="21"/>
          <w:lang w:eastAsia="en-GB"/>
        </w:rPr>
        <w:t> prefixes or actually use them.</w:t>
      </w:r>
    </w:p>
    <w:p w14:paraId="7AB63CDB" w14:textId="77777777" w:rsidR="0097421E" w:rsidRPr="0097421E" w:rsidRDefault="0097421E" w:rsidP="0097421E">
      <w:pPr>
        <w:numPr>
          <w:ilvl w:val="0"/>
          <w:numId w:val="2"/>
        </w:num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Replace the three placeholder strings with </w:t>
      </w:r>
      <w:r w:rsidRPr="0097421E">
        <w:rPr>
          <w:rFonts w:ascii="Courier New" w:eastAsia="Times New Roman" w:hAnsi="Courier New" w:cs="Courier New"/>
          <w:color w:val="0B0B0B"/>
          <w:sz w:val="20"/>
          <w:szCs w:val="20"/>
          <w:lang w:eastAsia="en-GB"/>
        </w:rPr>
        <w:t>null</w:t>
      </w:r>
      <w:r w:rsidRPr="0097421E">
        <w:rPr>
          <w:rFonts w:ascii="Segoe UI" w:eastAsia="Times New Roman" w:hAnsi="Segoe UI" w:cs="Segoe UI"/>
          <w:color w:val="0B0B0B"/>
          <w:sz w:val="21"/>
          <w:szCs w:val="21"/>
          <w:lang w:eastAsia="en-GB"/>
        </w:rPr>
        <w:t> and add a build assertion against them.</w:t>
      </w:r>
    </w:p>
    <w:p w14:paraId="3C49937F" w14:textId="77777777" w:rsidR="0097421E" w:rsidRPr="0097421E" w:rsidRDefault="0097421E" w:rsidP="0097421E">
      <w:pPr>
        <w:numPr>
          <w:ilvl w:val="0"/>
          <w:numId w:val="2"/>
        </w:num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Give publishers </w:t>
      </w:r>
      <w:r w:rsidRPr="0097421E">
        <w:rPr>
          <w:rFonts w:ascii="Courier New" w:eastAsia="Times New Roman" w:hAnsi="Courier New" w:cs="Courier New"/>
          <w:color w:val="0B0B0B"/>
          <w:sz w:val="20"/>
          <w:szCs w:val="20"/>
          <w:lang w:eastAsia="en-GB"/>
        </w:rPr>
        <w:t>@id</w:t>
      </w:r>
      <w:r w:rsidRPr="0097421E">
        <w:rPr>
          <w:rFonts w:ascii="Segoe UI" w:eastAsia="Times New Roman" w:hAnsi="Segoe UI" w:cs="Segoe UI"/>
          <w:color w:val="0B0B0B"/>
          <w:sz w:val="21"/>
          <w:szCs w:val="21"/>
          <w:lang w:eastAsia="en-GB"/>
        </w:rPr>
        <w:t>s — without stable publisher URIs the federation story doesn't work.</w:t>
      </w:r>
    </w:p>
    <w:p w14:paraId="6DAC453A" w14:textId="77777777" w:rsidR="0097421E" w:rsidRPr="0097421E" w:rsidRDefault="0097421E" w:rsidP="0097421E">
      <w:pPr>
        <w:numPr>
          <w:ilvl w:val="0"/>
          <w:numId w:val="2"/>
        </w:num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Add </w:t>
      </w:r>
      <w:r w:rsidRPr="0097421E">
        <w:rPr>
          <w:rFonts w:ascii="Courier New" w:eastAsia="Times New Roman" w:hAnsi="Courier New" w:cs="Courier New"/>
          <w:color w:val="0B0B0B"/>
          <w:sz w:val="20"/>
          <w:szCs w:val="20"/>
          <w:lang w:eastAsia="en-GB"/>
        </w:rPr>
        <w:t>locale</w:t>
      </w:r>
      <w:r w:rsidRPr="0097421E">
        <w:rPr>
          <w:rFonts w:ascii="Segoe UI" w:eastAsia="Times New Roman" w:hAnsi="Segoe UI" w:cs="Segoe UI"/>
          <w:color w:val="0B0B0B"/>
          <w:sz w:val="21"/>
          <w:szCs w:val="21"/>
          <w:lang w:eastAsia="en-GB"/>
        </w:rPr>
        <w:t> to GOV.UK acquisition so RISK-012 and the Welsh hard-failure class have data behind them.</w:t>
      </w:r>
    </w:p>
    <w:p w14:paraId="04E8B6F6" w14:textId="77777777" w:rsidR="0097421E" w:rsidRPr="0097421E" w:rsidRDefault="0097421E" w:rsidP="0097421E">
      <w:pPr>
        <w:shd w:val="clear" w:color="auto" w:fill="FCFCFB"/>
        <w:rPr>
          <w:rFonts w:ascii="Segoe UI" w:eastAsia="Times New Roman" w:hAnsi="Segoe UI" w:cs="Segoe UI"/>
          <w:color w:val="0B0B0B"/>
          <w:sz w:val="21"/>
          <w:szCs w:val="21"/>
          <w:lang w:eastAsia="en-GB"/>
        </w:rPr>
      </w:pPr>
      <w:r w:rsidRPr="0097421E">
        <w:rPr>
          <w:rFonts w:ascii="Segoe UI" w:eastAsia="Times New Roman" w:hAnsi="Segoe UI" w:cs="Segoe UI"/>
          <w:color w:val="0B0B0B"/>
          <w:sz w:val="21"/>
          <w:szCs w:val="21"/>
          <w:lang w:eastAsia="en-GB"/>
        </w:rPr>
        <w:t>The rigour here is real and unusual. The gap is that the rigour is currently pointed at </w:t>
      </w:r>
      <w:r w:rsidRPr="0097421E">
        <w:rPr>
          <w:rFonts w:ascii="Segoe UI" w:eastAsia="Times New Roman" w:hAnsi="Segoe UI" w:cs="Segoe UI"/>
          <w:i/>
          <w:iCs/>
          <w:color w:val="0B0B0B"/>
          <w:sz w:val="21"/>
          <w:szCs w:val="21"/>
          <w:lang w:eastAsia="en-GB"/>
        </w:rPr>
        <w:t>the process that produces the artifact</w:t>
      </w:r>
      <w:r w:rsidRPr="0097421E">
        <w:rPr>
          <w:rFonts w:ascii="Segoe UI" w:eastAsia="Times New Roman" w:hAnsi="Segoe UI" w:cs="Segoe UI"/>
          <w:color w:val="0B0B0B"/>
          <w:sz w:val="21"/>
          <w:szCs w:val="21"/>
          <w:lang w:eastAsia="en-GB"/>
        </w:rPr>
        <w:t> rather than at </w:t>
      </w:r>
      <w:r w:rsidRPr="0097421E">
        <w:rPr>
          <w:rFonts w:ascii="Segoe UI" w:eastAsia="Times New Roman" w:hAnsi="Segoe UI" w:cs="Segoe UI"/>
          <w:i/>
          <w:iCs/>
          <w:color w:val="0B0B0B"/>
          <w:sz w:val="21"/>
          <w:szCs w:val="21"/>
          <w:lang w:eastAsia="en-GB"/>
        </w:rPr>
        <w:t>the semantics the artifact carries</w:t>
      </w:r>
      <w:r w:rsidRPr="0097421E">
        <w:rPr>
          <w:rFonts w:ascii="Segoe UI" w:eastAsia="Times New Roman" w:hAnsi="Segoe UI" w:cs="Segoe UI"/>
          <w:color w:val="0B0B0B"/>
          <w:sz w:val="21"/>
          <w:szCs w:val="21"/>
          <w:lang w:eastAsia="en-GB"/>
        </w:rPr>
        <w:t> — the checksums are perfect and the payload is thin.</w:t>
      </w:r>
    </w:p>
    <w:p w14:paraId="4072CFED" w14:textId="77777777" w:rsidR="0088377D" w:rsidRDefault="0088377D"/>
    <w:sectPr w:rsidR="0088377D" w:rsidSect="0097421E">
      <w:headerReference w:type="default" r:id="rId7"/>
      <w:footerReference w:type="even"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2076EA5" w14:textId="77777777" w:rsidR="00E778EB" w:rsidRDefault="00E778EB" w:rsidP="0097421E">
      <w:r>
        <w:separator/>
      </w:r>
    </w:p>
  </w:endnote>
  <w:endnote w:type="continuationSeparator" w:id="0">
    <w:p w14:paraId="15A261CF" w14:textId="77777777" w:rsidR="00E778EB" w:rsidRDefault="00E778EB" w:rsidP="00974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inherit">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401530"/>
      <w:docPartObj>
        <w:docPartGallery w:val="Page Numbers (Bottom of Page)"/>
        <w:docPartUnique/>
      </w:docPartObj>
    </w:sdtPr>
    <w:sdtContent>
      <w:p w14:paraId="5799C2FD" w14:textId="123D20DF" w:rsidR="0097421E" w:rsidRDefault="0097421E" w:rsidP="00D6422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1BA2AD6E" w14:textId="77777777" w:rsidR="0097421E" w:rsidRDefault="0097421E" w:rsidP="009742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513423370"/>
      <w:docPartObj>
        <w:docPartGallery w:val="Page Numbers (Bottom of Page)"/>
        <w:docPartUnique/>
      </w:docPartObj>
    </w:sdtPr>
    <w:sdtContent>
      <w:p w14:paraId="6F538D60" w14:textId="43F6D2B3" w:rsidR="0097421E" w:rsidRDefault="0097421E" w:rsidP="00D6422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B46A9CA" w14:textId="77777777" w:rsidR="0097421E" w:rsidRDefault="0097421E" w:rsidP="0097421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BCAA9FA" w14:textId="77777777" w:rsidR="00E778EB" w:rsidRDefault="00E778EB" w:rsidP="0097421E">
      <w:r>
        <w:separator/>
      </w:r>
    </w:p>
  </w:footnote>
  <w:footnote w:type="continuationSeparator" w:id="0">
    <w:p w14:paraId="0A597B48" w14:textId="77777777" w:rsidR="00E778EB" w:rsidRDefault="00E778EB" w:rsidP="00974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EB02FC" w14:textId="14572F76" w:rsidR="0097421E" w:rsidRDefault="0097421E" w:rsidP="0097421E">
    <w:pPr>
      <w:pStyle w:val="Header"/>
      <w:spacing w:after="240"/>
    </w:pPr>
    <w:r w:rsidRPr="0097421E">
      <w:rPr>
        <w:b/>
        <w:bCs/>
      </w:rPr>
      <w:t>Provenance</w:t>
    </w:r>
    <w:r>
      <w:t xml:space="preserve">: </w:t>
    </w:r>
    <w:r w:rsidRPr="0097421E">
      <w:t>Opus-5</w:t>
    </w:r>
    <w:r>
      <w:t xml:space="preserve"> | </w:t>
    </w:r>
    <w:r w:rsidRPr="0097421E">
      <w:rPr>
        <w:b/>
        <w:bCs/>
      </w:rPr>
      <w:t>Review</w:t>
    </w:r>
    <w:r>
      <w:t xml:space="preserve">: Started | </w:t>
    </w:r>
    <w:r w:rsidRPr="0097421E">
      <w:rPr>
        <w:b/>
        <w:bCs/>
      </w:rPr>
      <w:t>Authorisation</w:t>
    </w:r>
    <w:r>
      <w:t>: None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1162BCA"/>
    <w:multiLevelType w:val="multilevel"/>
    <w:tmpl w:val="40E4C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F360BCE"/>
    <w:multiLevelType w:val="multilevel"/>
    <w:tmpl w:val="2D06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8066051">
    <w:abstractNumId w:val="1"/>
  </w:num>
  <w:num w:numId="2" w16cid:durableId="152068773">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21E"/>
    <w:rsid w:val="00004A50"/>
    <w:rsid w:val="000244CD"/>
    <w:rsid w:val="000A7E0B"/>
    <w:rsid w:val="00130968"/>
    <w:rsid w:val="001F3FC9"/>
    <w:rsid w:val="002651A9"/>
    <w:rsid w:val="002A0A80"/>
    <w:rsid w:val="002B784E"/>
    <w:rsid w:val="002F7FBD"/>
    <w:rsid w:val="003334CF"/>
    <w:rsid w:val="00345A4E"/>
    <w:rsid w:val="00357E66"/>
    <w:rsid w:val="00383A8A"/>
    <w:rsid w:val="003A1A2D"/>
    <w:rsid w:val="003A613A"/>
    <w:rsid w:val="00451578"/>
    <w:rsid w:val="00463D46"/>
    <w:rsid w:val="00465DF4"/>
    <w:rsid w:val="004B0013"/>
    <w:rsid w:val="004F7788"/>
    <w:rsid w:val="005252A6"/>
    <w:rsid w:val="0057199F"/>
    <w:rsid w:val="005E446F"/>
    <w:rsid w:val="0065180B"/>
    <w:rsid w:val="00674198"/>
    <w:rsid w:val="006B0509"/>
    <w:rsid w:val="006D735A"/>
    <w:rsid w:val="006E4A9B"/>
    <w:rsid w:val="006E6518"/>
    <w:rsid w:val="00747C07"/>
    <w:rsid w:val="007C7089"/>
    <w:rsid w:val="007D30EE"/>
    <w:rsid w:val="007E3E30"/>
    <w:rsid w:val="007F60AA"/>
    <w:rsid w:val="0080766B"/>
    <w:rsid w:val="00817E91"/>
    <w:rsid w:val="00823844"/>
    <w:rsid w:val="00846A52"/>
    <w:rsid w:val="0088377D"/>
    <w:rsid w:val="00892E27"/>
    <w:rsid w:val="008A1776"/>
    <w:rsid w:val="008A7BCE"/>
    <w:rsid w:val="008B47FA"/>
    <w:rsid w:val="0097421E"/>
    <w:rsid w:val="00991E15"/>
    <w:rsid w:val="009C25E6"/>
    <w:rsid w:val="00A12C19"/>
    <w:rsid w:val="00A90B76"/>
    <w:rsid w:val="00AF493E"/>
    <w:rsid w:val="00B10852"/>
    <w:rsid w:val="00B2710A"/>
    <w:rsid w:val="00BE7A88"/>
    <w:rsid w:val="00C23C86"/>
    <w:rsid w:val="00C45DE3"/>
    <w:rsid w:val="00C80B28"/>
    <w:rsid w:val="00CB43F7"/>
    <w:rsid w:val="00CC1F6D"/>
    <w:rsid w:val="00CE59F0"/>
    <w:rsid w:val="00D303F8"/>
    <w:rsid w:val="00D47DB7"/>
    <w:rsid w:val="00E45564"/>
    <w:rsid w:val="00E778EB"/>
    <w:rsid w:val="00ED3004"/>
    <w:rsid w:val="00ED57DE"/>
    <w:rsid w:val="00F16CE7"/>
    <w:rsid w:val="00FA52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2B74A"/>
  <w15:chartTrackingRefBased/>
  <w15:docId w15:val="{3EF21E90-135A-7342-A210-36C8A64C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4CF"/>
    <w:pPr>
      <w:spacing w:after="0" w:line="240" w:lineRule="auto"/>
    </w:pPr>
    <w:rPr>
      <w:rFonts w:eastAsiaTheme="minorEastAsia"/>
      <w:kern w:val="0"/>
      <w:sz w:val="22"/>
      <w:lang w:eastAsia="ja-JP"/>
      <w14:ligatures w14:val="none"/>
    </w:rPr>
  </w:style>
  <w:style w:type="paragraph" w:styleId="Heading1">
    <w:name w:val="heading 1"/>
    <w:basedOn w:val="Normal"/>
    <w:next w:val="Normal"/>
    <w:link w:val="Heading1Char"/>
    <w:uiPriority w:val="9"/>
    <w:qFormat/>
    <w:rsid w:val="009742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742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42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42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42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421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421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421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421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de-line">
    <w:name w:val="code-line"/>
    <w:basedOn w:val="Normal"/>
    <w:rsid w:val="00C80B28"/>
    <w:pPr>
      <w:spacing w:before="100" w:beforeAutospacing="1" w:after="100" w:afterAutospacing="1"/>
    </w:pPr>
    <w:rPr>
      <w:rFonts w:ascii="Courier New" w:eastAsia="Times New Roman" w:hAnsi="Courier New" w:cs="Times New Roman"/>
      <w:lang w:eastAsia="en-GB"/>
    </w:rPr>
  </w:style>
  <w:style w:type="paragraph" w:customStyle="1" w:styleId="Normal-AI">
    <w:name w:val="Normal-AI"/>
    <w:basedOn w:val="NoSpacing"/>
    <w:autoRedefine/>
    <w:qFormat/>
    <w:rsid w:val="003334CF"/>
    <w:rPr>
      <w:sz w:val="22"/>
      <w:lang w:eastAsia="en-GB"/>
    </w:rPr>
  </w:style>
  <w:style w:type="paragraph" w:styleId="NoSpacing">
    <w:name w:val="No Spacing"/>
    <w:uiPriority w:val="1"/>
    <w:qFormat/>
    <w:rsid w:val="003334CF"/>
    <w:pPr>
      <w:spacing w:after="0" w:line="240" w:lineRule="auto"/>
    </w:pPr>
    <w:rPr>
      <w:rFonts w:eastAsiaTheme="minorEastAsia"/>
      <w:kern w:val="0"/>
      <w:sz w:val="13"/>
      <w:lang w:eastAsia="ja-JP"/>
      <w14:ligatures w14:val="none"/>
    </w:rPr>
  </w:style>
  <w:style w:type="character" w:customStyle="1" w:styleId="Heading1Char">
    <w:name w:val="Heading 1 Char"/>
    <w:basedOn w:val="DefaultParagraphFont"/>
    <w:link w:val="Heading1"/>
    <w:uiPriority w:val="9"/>
    <w:rsid w:val="0097421E"/>
    <w:rPr>
      <w:rFonts w:asciiTheme="majorHAnsi" w:eastAsiaTheme="majorEastAsia" w:hAnsiTheme="majorHAnsi" w:cstheme="majorBidi"/>
      <w:color w:val="0F4761" w:themeColor="accent1" w:themeShade="BF"/>
      <w:kern w:val="0"/>
      <w:sz w:val="40"/>
      <w:szCs w:val="40"/>
      <w:lang w:eastAsia="ja-JP"/>
      <w14:ligatures w14:val="none"/>
    </w:rPr>
  </w:style>
  <w:style w:type="character" w:customStyle="1" w:styleId="Heading2Char">
    <w:name w:val="Heading 2 Char"/>
    <w:basedOn w:val="DefaultParagraphFont"/>
    <w:link w:val="Heading2"/>
    <w:uiPriority w:val="9"/>
    <w:rsid w:val="0097421E"/>
    <w:rPr>
      <w:rFonts w:asciiTheme="majorHAnsi" w:eastAsiaTheme="majorEastAsia" w:hAnsiTheme="majorHAnsi" w:cstheme="majorBidi"/>
      <w:color w:val="0F4761" w:themeColor="accent1" w:themeShade="BF"/>
      <w:kern w:val="0"/>
      <w:sz w:val="32"/>
      <w:szCs w:val="32"/>
      <w:lang w:eastAsia="ja-JP"/>
      <w14:ligatures w14:val="none"/>
    </w:rPr>
  </w:style>
  <w:style w:type="character" w:customStyle="1" w:styleId="Heading3Char">
    <w:name w:val="Heading 3 Char"/>
    <w:basedOn w:val="DefaultParagraphFont"/>
    <w:link w:val="Heading3"/>
    <w:uiPriority w:val="9"/>
    <w:semiHidden/>
    <w:rsid w:val="0097421E"/>
    <w:rPr>
      <w:rFonts w:eastAsiaTheme="majorEastAsia" w:cstheme="majorBidi"/>
      <w:color w:val="0F4761" w:themeColor="accent1" w:themeShade="BF"/>
      <w:kern w:val="0"/>
      <w:sz w:val="28"/>
      <w:szCs w:val="28"/>
      <w:lang w:eastAsia="ja-JP"/>
      <w14:ligatures w14:val="none"/>
    </w:rPr>
  </w:style>
  <w:style w:type="character" w:customStyle="1" w:styleId="Heading4Char">
    <w:name w:val="Heading 4 Char"/>
    <w:basedOn w:val="DefaultParagraphFont"/>
    <w:link w:val="Heading4"/>
    <w:uiPriority w:val="9"/>
    <w:semiHidden/>
    <w:rsid w:val="0097421E"/>
    <w:rPr>
      <w:rFonts w:eastAsiaTheme="majorEastAsia" w:cstheme="majorBidi"/>
      <w:i/>
      <w:iCs/>
      <w:color w:val="0F4761" w:themeColor="accent1" w:themeShade="BF"/>
      <w:kern w:val="0"/>
      <w:sz w:val="22"/>
      <w:lang w:eastAsia="ja-JP"/>
      <w14:ligatures w14:val="none"/>
    </w:rPr>
  </w:style>
  <w:style w:type="character" w:customStyle="1" w:styleId="Heading5Char">
    <w:name w:val="Heading 5 Char"/>
    <w:basedOn w:val="DefaultParagraphFont"/>
    <w:link w:val="Heading5"/>
    <w:uiPriority w:val="9"/>
    <w:semiHidden/>
    <w:rsid w:val="0097421E"/>
    <w:rPr>
      <w:rFonts w:eastAsiaTheme="majorEastAsia" w:cstheme="majorBidi"/>
      <w:color w:val="0F4761" w:themeColor="accent1" w:themeShade="BF"/>
      <w:kern w:val="0"/>
      <w:sz w:val="22"/>
      <w:lang w:eastAsia="ja-JP"/>
      <w14:ligatures w14:val="none"/>
    </w:rPr>
  </w:style>
  <w:style w:type="character" w:customStyle="1" w:styleId="Heading6Char">
    <w:name w:val="Heading 6 Char"/>
    <w:basedOn w:val="DefaultParagraphFont"/>
    <w:link w:val="Heading6"/>
    <w:uiPriority w:val="9"/>
    <w:semiHidden/>
    <w:rsid w:val="0097421E"/>
    <w:rPr>
      <w:rFonts w:eastAsiaTheme="majorEastAsia" w:cstheme="majorBidi"/>
      <w:i/>
      <w:iCs/>
      <w:color w:val="595959" w:themeColor="text1" w:themeTint="A6"/>
      <w:kern w:val="0"/>
      <w:sz w:val="22"/>
      <w:lang w:eastAsia="ja-JP"/>
      <w14:ligatures w14:val="none"/>
    </w:rPr>
  </w:style>
  <w:style w:type="character" w:customStyle="1" w:styleId="Heading7Char">
    <w:name w:val="Heading 7 Char"/>
    <w:basedOn w:val="DefaultParagraphFont"/>
    <w:link w:val="Heading7"/>
    <w:uiPriority w:val="9"/>
    <w:semiHidden/>
    <w:rsid w:val="0097421E"/>
    <w:rPr>
      <w:rFonts w:eastAsiaTheme="majorEastAsia" w:cstheme="majorBidi"/>
      <w:color w:val="595959" w:themeColor="text1" w:themeTint="A6"/>
      <w:kern w:val="0"/>
      <w:sz w:val="22"/>
      <w:lang w:eastAsia="ja-JP"/>
      <w14:ligatures w14:val="none"/>
    </w:rPr>
  </w:style>
  <w:style w:type="character" w:customStyle="1" w:styleId="Heading8Char">
    <w:name w:val="Heading 8 Char"/>
    <w:basedOn w:val="DefaultParagraphFont"/>
    <w:link w:val="Heading8"/>
    <w:uiPriority w:val="9"/>
    <w:semiHidden/>
    <w:rsid w:val="0097421E"/>
    <w:rPr>
      <w:rFonts w:eastAsiaTheme="majorEastAsia" w:cstheme="majorBidi"/>
      <w:i/>
      <w:iCs/>
      <w:color w:val="272727" w:themeColor="text1" w:themeTint="D8"/>
      <w:kern w:val="0"/>
      <w:sz w:val="22"/>
      <w:lang w:eastAsia="ja-JP"/>
      <w14:ligatures w14:val="none"/>
    </w:rPr>
  </w:style>
  <w:style w:type="character" w:customStyle="1" w:styleId="Heading9Char">
    <w:name w:val="Heading 9 Char"/>
    <w:basedOn w:val="DefaultParagraphFont"/>
    <w:link w:val="Heading9"/>
    <w:uiPriority w:val="9"/>
    <w:semiHidden/>
    <w:rsid w:val="0097421E"/>
    <w:rPr>
      <w:rFonts w:eastAsiaTheme="majorEastAsia" w:cstheme="majorBidi"/>
      <w:color w:val="272727" w:themeColor="text1" w:themeTint="D8"/>
      <w:kern w:val="0"/>
      <w:sz w:val="22"/>
      <w:lang w:eastAsia="ja-JP"/>
      <w14:ligatures w14:val="none"/>
    </w:rPr>
  </w:style>
  <w:style w:type="paragraph" w:styleId="Title">
    <w:name w:val="Title"/>
    <w:basedOn w:val="Normal"/>
    <w:next w:val="Normal"/>
    <w:link w:val="TitleChar"/>
    <w:uiPriority w:val="10"/>
    <w:qFormat/>
    <w:rsid w:val="0097421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421E"/>
    <w:rPr>
      <w:rFonts w:asciiTheme="majorHAnsi" w:eastAsiaTheme="majorEastAsia" w:hAnsiTheme="majorHAnsi" w:cstheme="majorBidi"/>
      <w:spacing w:val="-10"/>
      <w:kern w:val="28"/>
      <w:sz w:val="56"/>
      <w:szCs w:val="56"/>
      <w:lang w:eastAsia="ja-JP"/>
      <w14:ligatures w14:val="none"/>
    </w:rPr>
  </w:style>
  <w:style w:type="paragraph" w:styleId="Subtitle">
    <w:name w:val="Subtitle"/>
    <w:basedOn w:val="Normal"/>
    <w:next w:val="Normal"/>
    <w:link w:val="SubtitleChar"/>
    <w:uiPriority w:val="11"/>
    <w:qFormat/>
    <w:rsid w:val="0097421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421E"/>
    <w:rPr>
      <w:rFonts w:eastAsiaTheme="majorEastAsia" w:cstheme="majorBidi"/>
      <w:color w:val="595959" w:themeColor="text1" w:themeTint="A6"/>
      <w:spacing w:val="15"/>
      <w:kern w:val="0"/>
      <w:sz w:val="28"/>
      <w:szCs w:val="28"/>
      <w:lang w:eastAsia="ja-JP"/>
      <w14:ligatures w14:val="none"/>
    </w:rPr>
  </w:style>
  <w:style w:type="paragraph" w:styleId="Quote">
    <w:name w:val="Quote"/>
    <w:basedOn w:val="Normal"/>
    <w:next w:val="Normal"/>
    <w:link w:val="QuoteChar"/>
    <w:uiPriority w:val="29"/>
    <w:qFormat/>
    <w:rsid w:val="0097421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7421E"/>
    <w:rPr>
      <w:rFonts w:eastAsiaTheme="minorEastAsia"/>
      <w:i/>
      <w:iCs/>
      <w:color w:val="404040" w:themeColor="text1" w:themeTint="BF"/>
      <w:kern w:val="0"/>
      <w:sz w:val="22"/>
      <w:lang w:eastAsia="ja-JP"/>
      <w14:ligatures w14:val="none"/>
    </w:rPr>
  </w:style>
  <w:style w:type="paragraph" w:styleId="ListParagraph">
    <w:name w:val="List Paragraph"/>
    <w:basedOn w:val="Normal"/>
    <w:uiPriority w:val="34"/>
    <w:qFormat/>
    <w:rsid w:val="0097421E"/>
    <w:pPr>
      <w:ind w:left="720"/>
      <w:contextualSpacing/>
    </w:pPr>
  </w:style>
  <w:style w:type="character" w:styleId="IntenseEmphasis">
    <w:name w:val="Intense Emphasis"/>
    <w:basedOn w:val="DefaultParagraphFont"/>
    <w:uiPriority w:val="21"/>
    <w:qFormat/>
    <w:rsid w:val="0097421E"/>
    <w:rPr>
      <w:i/>
      <w:iCs/>
      <w:color w:val="0F4761" w:themeColor="accent1" w:themeShade="BF"/>
    </w:rPr>
  </w:style>
  <w:style w:type="paragraph" w:styleId="IntenseQuote">
    <w:name w:val="Intense Quote"/>
    <w:basedOn w:val="Normal"/>
    <w:next w:val="Normal"/>
    <w:link w:val="IntenseQuoteChar"/>
    <w:uiPriority w:val="30"/>
    <w:qFormat/>
    <w:rsid w:val="009742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421E"/>
    <w:rPr>
      <w:rFonts w:eastAsiaTheme="minorEastAsia"/>
      <w:i/>
      <w:iCs/>
      <w:color w:val="0F4761" w:themeColor="accent1" w:themeShade="BF"/>
      <w:kern w:val="0"/>
      <w:sz w:val="22"/>
      <w:lang w:eastAsia="ja-JP"/>
      <w14:ligatures w14:val="none"/>
    </w:rPr>
  </w:style>
  <w:style w:type="character" w:styleId="IntenseReference">
    <w:name w:val="Intense Reference"/>
    <w:basedOn w:val="DefaultParagraphFont"/>
    <w:uiPriority w:val="32"/>
    <w:qFormat/>
    <w:rsid w:val="0097421E"/>
    <w:rPr>
      <w:b/>
      <w:bCs/>
      <w:smallCaps/>
      <w:color w:val="0F4761" w:themeColor="accent1" w:themeShade="BF"/>
      <w:spacing w:val="5"/>
    </w:rPr>
  </w:style>
  <w:style w:type="paragraph" w:customStyle="1" w:styleId="msonormal0">
    <w:name w:val="msonormal"/>
    <w:basedOn w:val="Normal"/>
    <w:rsid w:val="0097421E"/>
    <w:pPr>
      <w:spacing w:before="100" w:beforeAutospacing="1" w:after="100" w:afterAutospacing="1"/>
    </w:pPr>
    <w:rPr>
      <w:rFonts w:ascii="Times New Roman" w:eastAsia="Times New Roman" w:hAnsi="Times New Roman" w:cs="Times New Roman"/>
      <w:sz w:val="24"/>
      <w:lang w:eastAsia="en-GB"/>
    </w:rPr>
  </w:style>
  <w:style w:type="paragraph" w:customStyle="1" w:styleId="text-body">
    <w:name w:val="text-body"/>
    <w:basedOn w:val="Normal"/>
    <w:rsid w:val="0097421E"/>
    <w:pPr>
      <w:spacing w:before="100" w:beforeAutospacing="1" w:after="100" w:afterAutospacing="1"/>
    </w:pPr>
    <w:rPr>
      <w:rFonts w:ascii="Times New Roman" w:eastAsia="Times New Roman" w:hAnsi="Times New Roman" w:cs="Times New Roman"/>
      <w:sz w:val="24"/>
      <w:lang w:eastAsia="en-GB"/>
    </w:rPr>
  </w:style>
  <w:style w:type="paragraph" w:styleId="NormalWeb">
    <w:name w:val="Normal (Web)"/>
    <w:basedOn w:val="Normal"/>
    <w:uiPriority w:val="99"/>
    <w:semiHidden/>
    <w:unhideWhenUsed/>
    <w:rsid w:val="0097421E"/>
    <w:pPr>
      <w:spacing w:before="100" w:beforeAutospacing="1" w:after="100" w:afterAutospacing="1"/>
    </w:pPr>
    <w:rPr>
      <w:rFonts w:ascii="Times New Roman" w:eastAsia="Times New Roman" w:hAnsi="Times New Roman" w:cs="Times New Roman"/>
      <w:sz w:val="24"/>
      <w:lang w:eastAsia="en-GB"/>
    </w:rPr>
  </w:style>
  <w:style w:type="character" w:customStyle="1" w:styleId="inline-flex">
    <w:name w:val="inline-flex"/>
    <w:basedOn w:val="DefaultParagraphFont"/>
    <w:rsid w:val="0097421E"/>
  </w:style>
  <w:style w:type="character" w:customStyle="1" w:styleId="text-body1">
    <w:name w:val="text-body1"/>
    <w:basedOn w:val="DefaultParagraphFont"/>
    <w:rsid w:val="0097421E"/>
  </w:style>
  <w:style w:type="character" w:customStyle="1" w:styleId="shrink-0">
    <w:name w:val="shrink-0"/>
    <w:basedOn w:val="DefaultParagraphFont"/>
    <w:rsid w:val="0097421E"/>
  </w:style>
  <w:style w:type="character" w:customStyle="1" w:styleId="truncate">
    <w:name w:val="truncate"/>
    <w:basedOn w:val="DefaultParagraphFont"/>
    <w:rsid w:val="0097421E"/>
  </w:style>
  <w:style w:type="character" w:customStyle="1" w:styleId="contents">
    <w:name w:val="contents"/>
    <w:basedOn w:val="DefaultParagraphFont"/>
    <w:rsid w:val="0097421E"/>
  </w:style>
  <w:style w:type="character" w:customStyle="1" w:styleId="inline-block">
    <w:name w:val="inline-block"/>
    <w:basedOn w:val="DefaultParagraphFont"/>
    <w:rsid w:val="0097421E"/>
  </w:style>
  <w:style w:type="character" w:customStyle="1" w:styleId="flex-1">
    <w:name w:val="flex-1"/>
    <w:basedOn w:val="DefaultParagraphFont"/>
    <w:rsid w:val="0097421E"/>
  </w:style>
  <w:style w:type="paragraph" w:styleId="HTMLPreformatted">
    <w:name w:val="HTML Preformatted"/>
    <w:basedOn w:val="Normal"/>
    <w:link w:val="HTMLPreformattedChar"/>
    <w:uiPriority w:val="99"/>
    <w:semiHidden/>
    <w:unhideWhenUsed/>
    <w:rsid w:val="00974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97421E"/>
    <w:rPr>
      <w:rFonts w:ascii="Courier New" w:eastAsia="Times New Roman" w:hAnsi="Courier New" w:cs="Courier New"/>
      <w:kern w:val="0"/>
      <w:sz w:val="20"/>
      <w:szCs w:val="20"/>
      <w:lang w:eastAsia="en-GB"/>
      <w14:ligatures w14:val="none"/>
    </w:rPr>
  </w:style>
  <w:style w:type="character" w:styleId="HTMLCode">
    <w:name w:val="HTML Code"/>
    <w:basedOn w:val="DefaultParagraphFont"/>
    <w:uiPriority w:val="99"/>
    <w:semiHidden/>
    <w:unhideWhenUsed/>
    <w:rsid w:val="0097421E"/>
    <w:rPr>
      <w:rFonts w:ascii="Courier New" w:eastAsia="Times New Roman" w:hAnsi="Courier New" w:cs="Courier New"/>
      <w:sz w:val="20"/>
      <w:szCs w:val="20"/>
    </w:rPr>
  </w:style>
  <w:style w:type="character" w:styleId="Strong">
    <w:name w:val="Strong"/>
    <w:basedOn w:val="DefaultParagraphFont"/>
    <w:uiPriority w:val="22"/>
    <w:qFormat/>
    <w:rsid w:val="0097421E"/>
    <w:rPr>
      <w:b/>
      <w:bCs/>
    </w:rPr>
  </w:style>
  <w:style w:type="character" w:styleId="Emphasis">
    <w:name w:val="Emphasis"/>
    <w:basedOn w:val="DefaultParagraphFont"/>
    <w:uiPriority w:val="20"/>
    <w:qFormat/>
    <w:rsid w:val="0097421E"/>
    <w:rPr>
      <w:i/>
      <w:iCs/>
    </w:rPr>
  </w:style>
  <w:style w:type="character" w:customStyle="1" w:styleId="wordanimatingyu34g11">
    <w:name w:val="_wordanimating_yu34g_11"/>
    <w:basedOn w:val="DefaultParagraphFont"/>
    <w:rsid w:val="0097421E"/>
  </w:style>
  <w:style w:type="paragraph" w:customStyle="1" w:styleId="wordanimatingyu34g111">
    <w:name w:val="_wordanimating_yu34g_111"/>
    <w:basedOn w:val="Normal"/>
    <w:rsid w:val="0097421E"/>
    <w:pPr>
      <w:spacing w:before="100" w:beforeAutospacing="1" w:after="100" w:afterAutospacing="1"/>
    </w:pPr>
    <w:rPr>
      <w:rFonts w:ascii="Times New Roman" w:eastAsia="Times New Roman" w:hAnsi="Times New Roman" w:cs="Times New Roman"/>
      <w:sz w:val="24"/>
      <w:lang w:eastAsia="en-GB"/>
    </w:rPr>
  </w:style>
  <w:style w:type="paragraph" w:styleId="Header">
    <w:name w:val="header"/>
    <w:basedOn w:val="Normal"/>
    <w:link w:val="HeaderChar"/>
    <w:uiPriority w:val="99"/>
    <w:unhideWhenUsed/>
    <w:rsid w:val="0097421E"/>
    <w:pPr>
      <w:tabs>
        <w:tab w:val="center" w:pos="4513"/>
        <w:tab w:val="right" w:pos="9026"/>
      </w:tabs>
    </w:pPr>
  </w:style>
  <w:style w:type="character" w:customStyle="1" w:styleId="HeaderChar">
    <w:name w:val="Header Char"/>
    <w:basedOn w:val="DefaultParagraphFont"/>
    <w:link w:val="Header"/>
    <w:uiPriority w:val="99"/>
    <w:rsid w:val="0097421E"/>
    <w:rPr>
      <w:rFonts w:eastAsiaTheme="minorEastAsia"/>
      <w:kern w:val="0"/>
      <w:sz w:val="22"/>
      <w:lang w:eastAsia="ja-JP"/>
      <w14:ligatures w14:val="none"/>
    </w:rPr>
  </w:style>
  <w:style w:type="paragraph" w:styleId="Footer">
    <w:name w:val="footer"/>
    <w:basedOn w:val="Normal"/>
    <w:link w:val="FooterChar"/>
    <w:uiPriority w:val="99"/>
    <w:unhideWhenUsed/>
    <w:rsid w:val="0097421E"/>
    <w:pPr>
      <w:tabs>
        <w:tab w:val="center" w:pos="4513"/>
        <w:tab w:val="right" w:pos="9026"/>
      </w:tabs>
    </w:pPr>
  </w:style>
  <w:style w:type="character" w:customStyle="1" w:styleId="FooterChar">
    <w:name w:val="Footer Char"/>
    <w:basedOn w:val="DefaultParagraphFont"/>
    <w:link w:val="Footer"/>
    <w:uiPriority w:val="99"/>
    <w:rsid w:val="0097421E"/>
    <w:rPr>
      <w:rFonts w:eastAsiaTheme="minorEastAsia"/>
      <w:kern w:val="0"/>
      <w:sz w:val="22"/>
      <w:lang w:eastAsia="ja-JP"/>
      <w14:ligatures w14:val="none"/>
    </w:rPr>
  </w:style>
  <w:style w:type="character" w:styleId="PageNumber">
    <w:name w:val="page number"/>
    <w:basedOn w:val="DefaultParagraphFont"/>
    <w:uiPriority w:val="99"/>
    <w:semiHidden/>
    <w:unhideWhenUsed/>
    <w:rsid w:val="009742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6802</Words>
  <Characters>41154</Characters>
  <Application>Microsoft Office Word</Application>
  <DocSecurity>0</DocSecurity>
  <Lines>643</Lines>
  <Paragraphs>230</Paragraphs>
  <ScaleCrop>false</ScaleCrop>
  <Company/>
  <LinksUpToDate>false</LinksUpToDate>
  <CharactersWithSpaces>47726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Page</dc:creator>
  <cp:keywords/>
  <dc:description/>
  <cp:lastModifiedBy>Chris Page</cp:lastModifiedBy>
  <cp:revision>1</cp:revision>
  <dcterms:created xsi:type="dcterms:W3CDTF">2026-07-29T15:28:00Z</dcterms:created>
  <dcterms:modified xsi:type="dcterms:W3CDTF">2026-07-29T15:32:00Z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78af4b5-bfed-4784-9cbe-eeacd1c8ef36_Enabled">
    <vt:lpwstr>true</vt:lpwstr>
  </property>
  <property fmtid="{D5CDD505-2E9C-101B-9397-08002B2CF9AE}" pid="3" name="MSIP_Label_478af4b5-bfed-4784-9cbe-eeacd1c8ef36_SetDate">
    <vt:lpwstr>2026-07-29T15:32:52Z</vt:lpwstr>
  </property>
  <property fmtid="{D5CDD505-2E9C-101B-9397-08002B2CF9AE}" pid="4" name="MSIP_Label_478af4b5-bfed-4784-9cbe-eeacd1c8ef36_Method">
    <vt:lpwstr>Privileged</vt:lpwstr>
  </property>
  <property fmtid="{D5CDD505-2E9C-101B-9397-08002B2CF9AE}" pid="5" name="MSIP_Label_478af4b5-bfed-4784-9cbe-eeacd1c8ef36_Name">
    <vt:lpwstr>Not Protectively Marked</vt:lpwstr>
  </property>
  <property fmtid="{D5CDD505-2E9C-101B-9397-08002B2CF9AE}" pid="6" name="MSIP_Label_478af4b5-bfed-4784-9cbe-eeacd1c8ef36_SiteId">
    <vt:lpwstr>88b0aa06-5927-4bbb-a893-89cc2713ac82</vt:lpwstr>
  </property>
  <property fmtid="{D5CDD505-2E9C-101B-9397-08002B2CF9AE}" pid="7" name="MSIP_Label_478af4b5-bfed-4784-9cbe-eeacd1c8ef36_ActionId">
    <vt:lpwstr>c00932bc-6ce1-4302-879b-24fea4ecb9c4</vt:lpwstr>
  </property>
  <property fmtid="{D5CDD505-2E9C-101B-9397-08002B2CF9AE}" pid="8" name="MSIP_Label_478af4b5-bfed-4784-9cbe-eeacd1c8ef36_ContentBits">
    <vt:lpwstr>0</vt:lpwstr>
  </property>
  <property fmtid="{D5CDD505-2E9C-101B-9397-08002B2CF9AE}" pid="9" name="MSIP_Label_478af4b5-bfed-4784-9cbe-eeacd1c8ef36_Tag">
    <vt:lpwstr>50, 0, 1, 1</vt:lpwstr>
  </property>
</Properties>
</file>